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84134" w14:textId="164CF57E" w:rsidR="00102C86" w:rsidRDefault="003257FD" w:rsidP="00102C86">
      <w:pPr>
        <w:jc w:val="center"/>
        <w:rPr>
          <w:b/>
        </w:rPr>
      </w:pPr>
      <w:r>
        <w:rPr>
          <w:b/>
        </w:rPr>
        <w:t>GraniteShares</w:t>
      </w:r>
      <w:r w:rsidR="00102C86">
        <w:rPr>
          <w:b/>
        </w:rPr>
        <w:t xml:space="preserve"> launches </w:t>
      </w:r>
      <w:proofErr w:type="gramStart"/>
      <w:r w:rsidR="00102C86">
        <w:rPr>
          <w:b/>
        </w:rPr>
        <w:t>new</w:t>
      </w:r>
      <w:proofErr w:type="gramEnd"/>
      <w:r w:rsidR="00102C86">
        <w:rPr>
          <w:b/>
        </w:rPr>
        <w:t xml:space="preserve"> ETF on SMCI</w:t>
      </w:r>
      <w:r>
        <w:rPr>
          <w:b/>
        </w:rPr>
        <w:t xml:space="preserve"> </w:t>
      </w:r>
      <w:r w:rsidR="00102C86">
        <w:rPr>
          <w:b/>
        </w:rPr>
        <w:t>(</w:t>
      </w:r>
      <w:r w:rsidR="00102C86">
        <w:rPr>
          <w:b/>
        </w:rPr>
        <w:t>Super Micro Computer</w:t>
      </w:r>
      <w:r w:rsidR="00102C86">
        <w:rPr>
          <w:b/>
        </w:rPr>
        <w:t>)</w:t>
      </w:r>
    </w:p>
    <w:p w14:paraId="2757843D" w14:textId="2E7A6433" w:rsidR="00102C86" w:rsidRPr="00102C86" w:rsidRDefault="00102C86" w:rsidP="00102C86">
      <w:pPr>
        <w:jc w:val="center"/>
        <w:rPr>
          <w:b/>
        </w:rPr>
      </w:pPr>
      <w:r w:rsidRPr="00102C86">
        <w:rPr>
          <w:b/>
        </w:rPr>
        <w:t>GraniteShares 2x Long SMCI Daily ETF</w:t>
      </w:r>
      <w:r>
        <w:rPr>
          <w:b/>
        </w:rPr>
        <w:t xml:space="preserve"> (SMCL)</w:t>
      </w:r>
    </w:p>
    <w:p w14:paraId="00000002" w14:textId="77777777" w:rsidR="00B30F8E" w:rsidRDefault="00B30F8E"/>
    <w:p w14:paraId="4CDEBBE8" w14:textId="77777777" w:rsidR="00102C86" w:rsidRDefault="003257FD">
      <w:r>
        <w:t xml:space="preserve">NEW YORK – </w:t>
      </w:r>
      <w:r w:rsidR="00102C86">
        <w:t>December</w:t>
      </w:r>
      <w:r w:rsidR="007B6987">
        <w:t xml:space="preserve"> 1</w:t>
      </w:r>
      <w:r w:rsidR="00102C86">
        <w:t>2</w:t>
      </w:r>
      <w:r w:rsidR="002869B8">
        <w:t>th</w:t>
      </w:r>
      <w:r w:rsidRPr="000B4B9F">
        <w:t>, 2024</w:t>
      </w:r>
      <w:r>
        <w:t xml:space="preserve"> – Today, </w:t>
      </w:r>
      <w:hyperlink r:id="rId5">
        <w:r>
          <w:rPr>
            <w:color w:val="1155CC"/>
            <w:u w:val="single"/>
          </w:rPr>
          <w:t>GraniteShares</w:t>
        </w:r>
      </w:hyperlink>
      <w:r>
        <w:t xml:space="preserve">, an ETF </w:t>
      </w:r>
      <w:r w:rsidR="00806CA7">
        <w:t>issuer specializing in high conviction ETFs</w:t>
      </w:r>
      <w:r>
        <w:t xml:space="preserve">, </w:t>
      </w:r>
      <w:r w:rsidR="003C18D3">
        <w:t>announce</w:t>
      </w:r>
      <w:r w:rsidR="006E2B27">
        <w:t>d</w:t>
      </w:r>
      <w:r w:rsidR="003C18D3">
        <w:t xml:space="preserve"> that it has </w:t>
      </w:r>
      <w:r w:rsidR="00102C86">
        <w:t>launched a</w:t>
      </w:r>
      <w:r w:rsidR="002869B8">
        <w:t xml:space="preserve"> </w:t>
      </w:r>
      <w:r w:rsidR="0066149F">
        <w:t xml:space="preserve">new </w:t>
      </w:r>
      <w:r w:rsidR="002869B8">
        <w:t xml:space="preserve">short &amp; </w:t>
      </w:r>
      <w:r w:rsidR="00CC63F8">
        <w:t xml:space="preserve">leveraged </w:t>
      </w:r>
      <w:r>
        <w:t xml:space="preserve">single-stock </w:t>
      </w:r>
      <w:r w:rsidR="00CC63F8">
        <w:t>ETF</w:t>
      </w:r>
      <w:r w:rsidR="00102C86">
        <w:t xml:space="preserve"> on SMCI (Super Micro Computer)</w:t>
      </w:r>
      <w:r w:rsidR="00C036BA">
        <w:t xml:space="preserve">. </w:t>
      </w:r>
    </w:p>
    <w:p w14:paraId="5E5CBD70" w14:textId="77777777" w:rsidR="00102C86" w:rsidRDefault="00102C86"/>
    <w:p w14:paraId="00000003" w14:textId="6D2491B8" w:rsidR="00B30F8E" w:rsidRDefault="00102C86">
      <w:r w:rsidRPr="00102C86">
        <w:rPr>
          <w:b/>
        </w:rPr>
        <w:t>GraniteShares 2x Long SMCI Daily ETF</w:t>
      </w:r>
      <w:r>
        <w:rPr>
          <w:b/>
        </w:rPr>
        <w:t xml:space="preserve"> (SMCL)</w:t>
      </w:r>
      <w:r>
        <w:rPr>
          <w:b/>
        </w:rPr>
        <w:t xml:space="preserve"> </w:t>
      </w:r>
      <w:r w:rsidR="003A7BAD">
        <w:t>will</w:t>
      </w:r>
      <w:r w:rsidR="00C036BA">
        <w:t xml:space="preserve"> </w:t>
      </w:r>
      <w:r w:rsidR="003257FD">
        <w:t>aim to replicate</w:t>
      </w:r>
      <w:r w:rsidR="001B4DF5">
        <w:t xml:space="preserve"> </w:t>
      </w:r>
      <w:r w:rsidR="00FB0132">
        <w:t>+</w:t>
      </w:r>
      <w:r w:rsidR="003257FD">
        <w:t xml:space="preserve">2X the daily variations of </w:t>
      </w:r>
      <w:r w:rsidR="007B6987">
        <w:t>Super Micro Computer</w:t>
      </w:r>
      <w:r w:rsidR="002869B8">
        <w:t xml:space="preserve"> </w:t>
      </w:r>
      <w:r w:rsidR="009F631C">
        <w:t>(</w:t>
      </w:r>
      <w:r w:rsidR="007B6987">
        <w:t>SMCI</w:t>
      </w:r>
      <w:r w:rsidR="009F631C">
        <w:t>)</w:t>
      </w:r>
      <w:r>
        <w:t>.</w:t>
      </w:r>
      <w:r w:rsidR="002869B8">
        <w:t xml:space="preserve"> </w:t>
      </w:r>
    </w:p>
    <w:p w14:paraId="5C44766B" w14:textId="484D7348" w:rsidR="00102C86" w:rsidRPr="00102C86" w:rsidRDefault="00102C86">
      <w:pPr>
        <w:rPr>
          <w:b/>
        </w:rPr>
      </w:pPr>
      <w:proofErr w:type="gramStart"/>
      <w:r>
        <w:t xml:space="preserve">The </w:t>
      </w:r>
      <w:r>
        <w:t xml:space="preserve">addition of this </w:t>
      </w:r>
      <w:r>
        <w:t>new ETF,</w:t>
      </w:r>
      <w:proofErr w:type="gramEnd"/>
      <w:r>
        <w:t xml:space="preserve"> will bring the total number of short and leveraged ETFs that GraniteShares offers to 21.</w:t>
      </w:r>
    </w:p>
    <w:p w14:paraId="2A4F2754" w14:textId="3D070270" w:rsidR="00C50CB4" w:rsidRDefault="00C50CB4"/>
    <w:tbl>
      <w:tblPr>
        <w:tblW w:w="9332" w:type="dxa"/>
        <w:tblInd w:w="8" w:type="dxa"/>
        <w:tblCellMar>
          <w:left w:w="0" w:type="dxa"/>
          <w:right w:w="0" w:type="dxa"/>
        </w:tblCellMar>
        <w:tblLook w:val="04A0" w:firstRow="1" w:lastRow="0" w:firstColumn="1" w:lastColumn="0" w:noHBand="0" w:noVBand="1"/>
      </w:tblPr>
      <w:tblGrid>
        <w:gridCol w:w="4261"/>
        <w:gridCol w:w="1415"/>
        <w:gridCol w:w="2316"/>
        <w:gridCol w:w="1340"/>
      </w:tblGrid>
      <w:tr w:rsidR="007B6987" w14:paraId="14F2CDD2" w14:textId="67C8207A" w:rsidTr="007B6987">
        <w:trPr>
          <w:trHeight w:val="300"/>
        </w:trPr>
        <w:tc>
          <w:tcPr>
            <w:tcW w:w="4261" w:type="dxa"/>
            <w:tcBorders>
              <w:top w:val="single" w:sz="8" w:space="0" w:color="auto"/>
              <w:left w:val="single" w:sz="8" w:space="0" w:color="auto"/>
              <w:bottom w:val="single" w:sz="8" w:space="0" w:color="auto"/>
              <w:right w:val="single" w:sz="8" w:space="0" w:color="auto"/>
            </w:tcBorders>
            <w:shd w:val="clear" w:color="auto" w:fill="E8E8E8"/>
            <w:noWrap/>
            <w:tcMar>
              <w:top w:w="0" w:type="dxa"/>
              <w:left w:w="108" w:type="dxa"/>
              <w:bottom w:w="0" w:type="dxa"/>
              <w:right w:w="108" w:type="dxa"/>
            </w:tcMar>
            <w:vAlign w:val="bottom"/>
            <w:hideMark/>
          </w:tcPr>
          <w:p w14:paraId="65DDA79C" w14:textId="2DB158A5" w:rsidR="007B6987" w:rsidRDefault="007B6987" w:rsidP="007B6987">
            <w:pPr>
              <w:spacing w:line="252" w:lineRule="auto"/>
              <w:rPr>
                <w:rFonts w:ascii="Aptos Narrow" w:hAnsi="Aptos Narrow"/>
                <w:color w:val="000000"/>
                <w:sz w:val="24"/>
                <w:szCs w:val="24"/>
              </w:rPr>
            </w:pPr>
            <w:r>
              <w:rPr>
                <w:rFonts w:ascii="Calibri" w:hAnsi="Calibri" w:cs="Calibri"/>
                <w:color w:val="000000"/>
              </w:rPr>
              <w:t>Fund Name</w:t>
            </w:r>
          </w:p>
        </w:tc>
        <w:tc>
          <w:tcPr>
            <w:tcW w:w="1415" w:type="dxa"/>
            <w:tcBorders>
              <w:top w:val="single" w:sz="8" w:space="0" w:color="auto"/>
              <w:left w:val="single" w:sz="8" w:space="0" w:color="auto"/>
              <w:bottom w:val="single" w:sz="8" w:space="0" w:color="auto"/>
              <w:right w:val="single" w:sz="8" w:space="0" w:color="auto"/>
            </w:tcBorders>
            <w:shd w:val="clear" w:color="auto" w:fill="E8E8E8"/>
            <w:vAlign w:val="bottom"/>
          </w:tcPr>
          <w:p w14:paraId="0374050F" w14:textId="00DF3495" w:rsidR="007B6987" w:rsidRDefault="007B6987" w:rsidP="007B6987">
            <w:pPr>
              <w:spacing w:line="252" w:lineRule="auto"/>
              <w:jc w:val="center"/>
              <w:rPr>
                <w:rFonts w:ascii="Aptos Narrow" w:hAnsi="Aptos Narrow"/>
                <w:color w:val="000000"/>
                <w:sz w:val="24"/>
                <w:szCs w:val="24"/>
              </w:rPr>
            </w:pPr>
            <w:r>
              <w:rPr>
                <w:rFonts w:ascii="Calibri" w:hAnsi="Calibri" w:cs="Calibri"/>
                <w:color w:val="000000"/>
              </w:rPr>
              <w:t>Ticker</w:t>
            </w:r>
          </w:p>
        </w:tc>
        <w:tc>
          <w:tcPr>
            <w:tcW w:w="2316" w:type="dxa"/>
            <w:tcBorders>
              <w:top w:val="single" w:sz="8" w:space="0" w:color="auto"/>
              <w:left w:val="single" w:sz="8" w:space="0" w:color="auto"/>
              <w:bottom w:val="single" w:sz="8" w:space="0" w:color="auto"/>
              <w:right w:val="single" w:sz="8" w:space="0" w:color="auto"/>
            </w:tcBorders>
            <w:shd w:val="clear" w:color="auto" w:fill="E8E8E8"/>
          </w:tcPr>
          <w:p w14:paraId="4D689411" w14:textId="75B781F8" w:rsidR="007B6987" w:rsidRDefault="007B6987" w:rsidP="007B6987">
            <w:pPr>
              <w:spacing w:line="252" w:lineRule="auto"/>
              <w:jc w:val="center"/>
              <w:rPr>
                <w:rFonts w:ascii="Calibri" w:hAnsi="Calibri" w:cs="Calibri"/>
                <w:color w:val="000000"/>
              </w:rPr>
            </w:pPr>
            <w:r>
              <w:rPr>
                <w:rFonts w:ascii="Calibri" w:hAnsi="Calibri" w:cs="Calibri"/>
                <w:color w:val="000000"/>
              </w:rPr>
              <w:t>Underlying Stock</w:t>
            </w:r>
          </w:p>
        </w:tc>
        <w:tc>
          <w:tcPr>
            <w:tcW w:w="1340" w:type="dxa"/>
            <w:tcBorders>
              <w:top w:val="single" w:sz="8" w:space="0" w:color="auto"/>
              <w:left w:val="single" w:sz="8" w:space="0" w:color="auto"/>
              <w:bottom w:val="single" w:sz="8" w:space="0" w:color="auto"/>
              <w:right w:val="single" w:sz="8" w:space="0" w:color="auto"/>
            </w:tcBorders>
            <w:shd w:val="clear" w:color="auto" w:fill="E8E8E8"/>
            <w:vAlign w:val="bottom"/>
          </w:tcPr>
          <w:p w14:paraId="0392DB1D" w14:textId="2E109673" w:rsidR="007B6987" w:rsidRDefault="007B6987" w:rsidP="007B6987">
            <w:pPr>
              <w:spacing w:line="252" w:lineRule="auto"/>
              <w:jc w:val="center"/>
              <w:rPr>
                <w:rFonts w:ascii="Aptos Narrow" w:hAnsi="Aptos Narrow"/>
                <w:color w:val="000000"/>
                <w:sz w:val="24"/>
                <w:szCs w:val="24"/>
              </w:rPr>
            </w:pPr>
            <w:r>
              <w:rPr>
                <w:rFonts w:ascii="Calibri" w:hAnsi="Calibri" w:cs="Calibri"/>
                <w:color w:val="000000"/>
              </w:rPr>
              <w:t>CUSIP</w:t>
            </w:r>
          </w:p>
        </w:tc>
      </w:tr>
      <w:tr w:rsidR="007B6987" w14:paraId="138CCEEE" w14:textId="007BB40A" w:rsidTr="001763F8">
        <w:trPr>
          <w:trHeight w:val="300"/>
        </w:trPr>
        <w:tc>
          <w:tcPr>
            <w:tcW w:w="42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69AAE4" w14:textId="3C9F0EF3" w:rsidR="007B6987" w:rsidRDefault="007B6987" w:rsidP="007B6987">
            <w:pPr>
              <w:spacing w:line="252" w:lineRule="auto"/>
              <w:rPr>
                <w:rFonts w:ascii="Aptos Narrow" w:hAnsi="Aptos Narrow"/>
                <w:color w:val="000000"/>
              </w:rPr>
            </w:pPr>
            <w:r>
              <w:rPr>
                <w:rFonts w:ascii="Calibri" w:hAnsi="Calibri" w:cs="Calibri"/>
                <w:color w:val="000000"/>
              </w:rPr>
              <w:t>GraniteShares 2x Long SMCI Daily ETF</w:t>
            </w:r>
          </w:p>
        </w:tc>
        <w:tc>
          <w:tcPr>
            <w:tcW w:w="1415" w:type="dxa"/>
            <w:tcBorders>
              <w:top w:val="nil"/>
              <w:left w:val="single" w:sz="8" w:space="0" w:color="auto"/>
              <w:bottom w:val="single" w:sz="8" w:space="0" w:color="auto"/>
              <w:right w:val="single" w:sz="8" w:space="0" w:color="auto"/>
            </w:tcBorders>
            <w:vAlign w:val="bottom"/>
          </w:tcPr>
          <w:p w14:paraId="36CDE311" w14:textId="41BA7FED" w:rsidR="007B6987" w:rsidRPr="001763F8" w:rsidRDefault="007B6987" w:rsidP="001763F8">
            <w:pPr>
              <w:spacing w:line="252" w:lineRule="auto"/>
              <w:jc w:val="center"/>
              <w:rPr>
                <w:rFonts w:ascii="Calibri" w:hAnsi="Calibri" w:cs="Calibri"/>
                <w:color w:val="000000"/>
              </w:rPr>
            </w:pPr>
            <w:r>
              <w:rPr>
                <w:rFonts w:ascii="Calibri" w:hAnsi="Calibri" w:cs="Calibri"/>
                <w:color w:val="000000"/>
              </w:rPr>
              <w:t>SMCL</w:t>
            </w:r>
          </w:p>
        </w:tc>
        <w:tc>
          <w:tcPr>
            <w:tcW w:w="2316" w:type="dxa"/>
            <w:tcBorders>
              <w:top w:val="nil"/>
              <w:left w:val="single" w:sz="8" w:space="0" w:color="auto"/>
              <w:bottom w:val="single" w:sz="8" w:space="0" w:color="auto"/>
              <w:right w:val="single" w:sz="8" w:space="0" w:color="auto"/>
            </w:tcBorders>
          </w:tcPr>
          <w:p w14:paraId="209E70E8" w14:textId="3BEB3A9B" w:rsidR="007B6987" w:rsidRDefault="007B6987" w:rsidP="001763F8">
            <w:pPr>
              <w:spacing w:line="252" w:lineRule="auto"/>
              <w:jc w:val="center"/>
              <w:rPr>
                <w:rFonts w:ascii="Calibri" w:hAnsi="Calibri" w:cs="Calibri"/>
                <w:color w:val="000000"/>
              </w:rPr>
            </w:pPr>
            <w:r w:rsidRPr="001763F8">
              <w:rPr>
                <w:rFonts w:ascii="Calibri" w:hAnsi="Calibri" w:cs="Calibri"/>
                <w:color w:val="000000"/>
              </w:rPr>
              <w:t>Super Micro Computer</w:t>
            </w:r>
          </w:p>
        </w:tc>
        <w:tc>
          <w:tcPr>
            <w:tcW w:w="1340" w:type="dxa"/>
            <w:tcBorders>
              <w:top w:val="nil"/>
              <w:left w:val="single" w:sz="8" w:space="0" w:color="auto"/>
              <w:bottom w:val="single" w:sz="8" w:space="0" w:color="auto"/>
              <w:right w:val="single" w:sz="8" w:space="0" w:color="auto"/>
            </w:tcBorders>
            <w:vAlign w:val="bottom"/>
          </w:tcPr>
          <w:p w14:paraId="24B69BC2" w14:textId="338F6EE7" w:rsidR="007B6987" w:rsidRPr="001763F8" w:rsidRDefault="007B6987" w:rsidP="001763F8">
            <w:pPr>
              <w:spacing w:line="252" w:lineRule="auto"/>
              <w:jc w:val="center"/>
              <w:rPr>
                <w:rFonts w:ascii="Calibri" w:hAnsi="Calibri" w:cs="Calibri"/>
                <w:color w:val="000000"/>
              </w:rPr>
            </w:pPr>
            <w:r>
              <w:rPr>
                <w:rFonts w:ascii="Calibri" w:hAnsi="Calibri" w:cs="Calibri"/>
                <w:color w:val="000000"/>
              </w:rPr>
              <w:t>38747R 660</w:t>
            </w:r>
          </w:p>
        </w:tc>
      </w:tr>
    </w:tbl>
    <w:p w14:paraId="74B8584B" w14:textId="77777777" w:rsidR="009C5955" w:rsidRDefault="009C5955"/>
    <w:p w14:paraId="17D9BFE2" w14:textId="77777777" w:rsidR="003E7839" w:rsidRDefault="003E7839"/>
    <w:p w14:paraId="3A5B3803" w14:textId="02D5AB63" w:rsidR="009C5955" w:rsidRDefault="00423508">
      <w:r>
        <w:t xml:space="preserve">The </w:t>
      </w:r>
      <w:r w:rsidR="009F631C">
        <w:t xml:space="preserve">additions </w:t>
      </w:r>
      <w:r>
        <w:t xml:space="preserve">come </w:t>
      </w:r>
      <w:r w:rsidR="00FA5D24">
        <w:t xml:space="preserve">as GraniteShares </w:t>
      </w:r>
      <w:r w:rsidR="00C409D1">
        <w:t xml:space="preserve">recently </w:t>
      </w:r>
      <w:r w:rsidR="00FA5D24">
        <w:t xml:space="preserve">surpassed </w:t>
      </w:r>
      <w:r w:rsidR="00026CE5">
        <w:t>$</w:t>
      </w:r>
      <w:r w:rsidR="00102C86">
        <w:t>10</w:t>
      </w:r>
      <w:r w:rsidR="00F90010">
        <w:t xml:space="preserve"> </w:t>
      </w:r>
      <w:r w:rsidR="00E447C2">
        <w:t>B</w:t>
      </w:r>
      <w:r w:rsidR="00F90010">
        <w:t>illion</w:t>
      </w:r>
      <w:r w:rsidR="00F90010" w:rsidRPr="00F90010">
        <w:rPr>
          <w:vertAlign w:val="superscript"/>
        </w:rPr>
        <w:t>2</w:t>
      </w:r>
      <w:r w:rsidR="00E447C2">
        <w:t xml:space="preserve"> in AUM</w:t>
      </w:r>
      <w:r w:rsidR="00D94666">
        <w:t xml:space="preserve"> on the back of strong growth across its ETF platform.</w:t>
      </w:r>
    </w:p>
    <w:p w14:paraId="00000004" w14:textId="77777777" w:rsidR="00B30F8E" w:rsidRDefault="00B30F8E"/>
    <w:p w14:paraId="00000005" w14:textId="6AA79120" w:rsidR="00B30F8E" w:rsidRDefault="003257FD">
      <w:r>
        <w:rPr>
          <w:highlight w:val="white"/>
        </w:rPr>
        <w:t xml:space="preserve">GraniteShares first introduced leveraged ETFs on single stocks in the UK in 2019 and </w:t>
      </w:r>
      <w:r>
        <w:t xml:space="preserve">was one of the first ETF issuers to launch single-stock ETFs in the U.S. in August 2023. </w:t>
      </w:r>
      <w:r w:rsidR="007E49B8" w:rsidRPr="007E49B8">
        <w:t>As a pioneer in leveraged single-stock ETFs, GraniteShares today operates one of the largest single stock ETF in the world</w:t>
      </w:r>
      <w:r w:rsidR="003E7F95">
        <w:t xml:space="preserve">, </w:t>
      </w:r>
      <w:hyperlink r:id="rId6" w:history="1">
        <w:r w:rsidR="001B4DF5">
          <w:rPr>
            <w:rStyle w:val="Hyperlink"/>
          </w:rPr>
          <w:t>GraniteShares 2X Long NVDA Daily ETF (NVDL)</w:t>
        </w:r>
      </w:hyperlink>
      <w:r w:rsidR="001B4DF5">
        <w:t xml:space="preserve"> </w:t>
      </w:r>
      <w:r w:rsidR="00116D49" w:rsidRPr="00116D49">
        <w:rPr>
          <w:vertAlign w:val="superscript"/>
        </w:rPr>
        <w:t>1</w:t>
      </w:r>
      <w:r w:rsidR="001B4DF5">
        <w:t xml:space="preserve"> </w:t>
      </w:r>
      <w:r w:rsidR="003E7F95">
        <w:t xml:space="preserve">and </w:t>
      </w:r>
      <w:r w:rsidR="008100A6">
        <w:t>one of the</w:t>
      </w:r>
      <w:r w:rsidR="003E7F95">
        <w:t xml:space="preserve"> largest overall single stock ETF franchise</w:t>
      </w:r>
      <w:r w:rsidR="008100A6">
        <w:t>s</w:t>
      </w:r>
      <w:r w:rsidR="003E7F95">
        <w:t xml:space="preserve"> by AUM. </w:t>
      </w:r>
    </w:p>
    <w:p w14:paraId="00000006" w14:textId="77777777" w:rsidR="00B30F8E" w:rsidRDefault="00B30F8E"/>
    <w:p w14:paraId="00000007" w14:textId="08BD953F" w:rsidR="00B30F8E" w:rsidRDefault="003257FD">
      <w:r>
        <w:t>"</w:t>
      </w:r>
      <w:r w:rsidR="001763F8">
        <w:t xml:space="preserve">We are pleased to offer </w:t>
      </w:r>
      <w:r w:rsidR="00102C86">
        <w:t xml:space="preserve">a new </w:t>
      </w:r>
      <w:r w:rsidR="001763F8">
        <w:t>leveraged single stock</w:t>
      </w:r>
      <w:r w:rsidR="00102C86">
        <w:t xml:space="preserve"> ETF</w:t>
      </w:r>
      <w:r w:rsidR="001763F8">
        <w:t xml:space="preserve"> on</w:t>
      </w:r>
      <w:r w:rsidR="00102C86">
        <w:t xml:space="preserve"> </w:t>
      </w:r>
      <w:r w:rsidR="001763F8">
        <w:t>Super Micro Computer,</w:t>
      </w:r>
      <w:r>
        <w:t>” sa</w:t>
      </w:r>
      <w:r w:rsidR="00102C86">
        <w:t>id</w:t>
      </w:r>
      <w:r>
        <w:t xml:space="preserve"> Will Rhind, Founder and CEO of GraniteShares. “</w:t>
      </w:r>
      <w:r w:rsidR="001763F8">
        <w:t xml:space="preserve">We </w:t>
      </w:r>
      <w:r w:rsidR="00102C86">
        <w:t>have had a lot of interest in this name and for AI related stocks generally</w:t>
      </w:r>
      <w:r>
        <w:t>."</w:t>
      </w:r>
    </w:p>
    <w:p w14:paraId="00000008" w14:textId="77777777" w:rsidR="00B30F8E" w:rsidRDefault="00B30F8E"/>
    <w:p w14:paraId="14C50B98" w14:textId="7733667F" w:rsidR="009E6474" w:rsidRPr="00C1196A" w:rsidRDefault="007B3948">
      <w:pPr>
        <w:rPr>
          <w:u w:val="single"/>
        </w:rPr>
      </w:pPr>
      <w:r w:rsidRPr="00C1196A">
        <w:rPr>
          <w:u w:val="single"/>
        </w:rPr>
        <w:t xml:space="preserve">GraniteShares Live ETF Offering </w:t>
      </w:r>
      <w:proofErr w:type="gramStart"/>
      <w:r w:rsidR="00C1196A">
        <w:rPr>
          <w:u w:val="single"/>
        </w:rPr>
        <w:t>In</w:t>
      </w:r>
      <w:proofErr w:type="gramEnd"/>
      <w:r w:rsidR="00C1196A">
        <w:rPr>
          <w:u w:val="single"/>
        </w:rPr>
        <w:t xml:space="preserve"> Table </w:t>
      </w:r>
      <w:r w:rsidRPr="00C1196A">
        <w:rPr>
          <w:u w:val="single"/>
        </w:rPr>
        <w:t>Below</w:t>
      </w:r>
    </w:p>
    <w:p w14:paraId="01E70990" w14:textId="77777777" w:rsidR="007B3948" w:rsidRDefault="007B3948">
      <w:pPr>
        <w:rPr>
          <w:highlight w:val="yellow"/>
        </w:rPr>
      </w:pPr>
    </w:p>
    <w:tbl>
      <w:tblPr>
        <w:tblW w:w="7992" w:type="dxa"/>
        <w:tblInd w:w="8" w:type="dxa"/>
        <w:tblCellMar>
          <w:left w:w="0" w:type="dxa"/>
          <w:right w:w="0" w:type="dxa"/>
        </w:tblCellMar>
        <w:tblLook w:val="04A0" w:firstRow="1" w:lastRow="0" w:firstColumn="1" w:lastColumn="0" w:noHBand="0" w:noVBand="1"/>
      </w:tblPr>
      <w:tblGrid>
        <w:gridCol w:w="4260"/>
        <w:gridCol w:w="1662"/>
        <w:gridCol w:w="2070"/>
      </w:tblGrid>
      <w:tr w:rsidR="00E43109" w14:paraId="475ECF45" w14:textId="1B62C3A2" w:rsidTr="009C5948">
        <w:trPr>
          <w:trHeight w:val="300"/>
        </w:trPr>
        <w:tc>
          <w:tcPr>
            <w:tcW w:w="4260" w:type="dxa"/>
            <w:tcBorders>
              <w:top w:val="single" w:sz="8" w:space="0" w:color="auto"/>
              <w:left w:val="single" w:sz="8" w:space="0" w:color="auto"/>
              <w:bottom w:val="single" w:sz="8" w:space="0" w:color="auto"/>
              <w:right w:val="single" w:sz="8" w:space="0" w:color="auto"/>
            </w:tcBorders>
            <w:shd w:val="clear" w:color="auto" w:fill="E8E8E8"/>
            <w:noWrap/>
            <w:tcMar>
              <w:top w:w="0" w:type="dxa"/>
              <w:left w:w="108" w:type="dxa"/>
              <w:bottom w:w="0" w:type="dxa"/>
              <w:right w:w="108" w:type="dxa"/>
            </w:tcMar>
            <w:vAlign w:val="bottom"/>
            <w:hideMark/>
          </w:tcPr>
          <w:p w14:paraId="7C9DA8BA" w14:textId="20F40DC7" w:rsidR="00E43109" w:rsidRDefault="003E7F95">
            <w:pPr>
              <w:spacing w:line="252" w:lineRule="auto"/>
              <w:rPr>
                <w:rFonts w:ascii="Aptos Narrow" w:hAnsi="Aptos Narrow"/>
                <w:color w:val="000000"/>
                <w:sz w:val="24"/>
                <w:szCs w:val="24"/>
              </w:rPr>
            </w:pPr>
            <w:r>
              <w:rPr>
                <w:rFonts w:ascii="Aptos Narrow" w:hAnsi="Aptos Narrow"/>
                <w:color w:val="000000"/>
                <w:sz w:val="24"/>
                <w:szCs w:val="24"/>
              </w:rPr>
              <w:t xml:space="preserve">GraniteShares </w:t>
            </w:r>
            <w:r w:rsidR="00E43109">
              <w:rPr>
                <w:rFonts w:ascii="Aptos Narrow" w:hAnsi="Aptos Narrow"/>
                <w:color w:val="000000"/>
                <w:sz w:val="24"/>
                <w:szCs w:val="24"/>
              </w:rPr>
              <w:t xml:space="preserve">S&amp;L ETF Suite </w:t>
            </w:r>
          </w:p>
        </w:tc>
        <w:tc>
          <w:tcPr>
            <w:tcW w:w="1662" w:type="dxa"/>
            <w:tcBorders>
              <w:top w:val="single" w:sz="8" w:space="0" w:color="auto"/>
              <w:left w:val="single" w:sz="8" w:space="0" w:color="auto"/>
              <w:bottom w:val="single" w:sz="8" w:space="0" w:color="auto"/>
              <w:right w:val="single" w:sz="8" w:space="0" w:color="auto"/>
            </w:tcBorders>
            <w:shd w:val="clear" w:color="auto" w:fill="E8E8E8"/>
          </w:tcPr>
          <w:p w14:paraId="42259D1C" w14:textId="6BEED290" w:rsidR="00E43109" w:rsidRDefault="00E43109" w:rsidP="00703A55">
            <w:pPr>
              <w:spacing w:line="252" w:lineRule="auto"/>
              <w:jc w:val="center"/>
              <w:rPr>
                <w:rFonts w:ascii="Aptos Narrow" w:hAnsi="Aptos Narrow"/>
                <w:color w:val="000000"/>
                <w:sz w:val="24"/>
                <w:szCs w:val="24"/>
              </w:rPr>
            </w:pPr>
            <w:r>
              <w:rPr>
                <w:rFonts w:ascii="Aptos Narrow" w:hAnsi="Aptos Narrow"/>
                <w:color w:val="000000"/>
                <w:sz w:val="24"/>
                <w:szCs w:val="24"/>
              </w:rPr>
              <w:t>Ticker</w:t>
            </w:r>
          </w:p>
        </w:tc>
        <w:tc>
          <w:tcPr>
            <w:tcW w:w="2070" w:type="dxa"/>
            <w:tcBorders>
              <w:top w:val="single" w:sz="8" w:space="0" w:color="auto"/>
              <w:left w:val="single" w:sz="8" w:space="0" w:color="auto"/>
              <w:bottom w:val="single" w:sz="8" w:space="0" w:color="auto"/>
              <w:right w:val="single" w:sz="8" w:space="0" w:color="auto"/>
            </w:tcBorders>
            <w:shd w:val="clear" w:color="auto" w:fill="E8E8E8"/>
          </w:tcPr>
          <w:p w14:paraId="36F7E0D7" w14:textId="2B813611" w:rsidR="00E43109" w:rsidRDefault="00E43109" w:rsidP="00703A55">
            <w:pPr>
              <w:spacing w:line="252" w:lineRule="auto"/>
              <w:jc w:val="center"/>
              <w:rPr>
                <w:rFonts w:ascii="Aptos Narrow" w:hAnsi="Aptos Narrow"/>
                <w:color w:val="000000"/>
                <w:sz w:val="24"/>
                <w:szCs w:val="24"/>
              </w:rPr>
            </w:pPr>
            <w:r>
              <w:rPr>
                <w:rFonts w:ascii="Aptos Narrow" w:hAnsi="Aptos Narrow"/>
                <w:color w:val="000000"/>
                <w:sz w:val="24"/>
                <w:szCs w:val="24"/>
              </w:rPr>
              <w:t>Underlying Stock</w:t>
            </w:r>
          </w:p>
        </w:tc>
      </w:tr>
      <w:tr w:rsidR="00E43109" w14:paraId="5F3E7316" w14:textId="277ECC37" w:rsidTr="009C5948">
        <w:trPr>
          <w:trHeight w:val="300"/>
        </w:trPr>
        <w:tc>
          <w:tcPr>
            <w:tcW w:w="4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4272E5" w14:textId="77777777" w:rsidR="00E43109" w:rsidRDefault="00E43109">
            <w:pPr>
              <w:spacing w:line="252" w:lineRule="auto"/>
              <w:rPr>
                <w:rFonts w:ascii="Aptos Narrow" w:hAnsi="Aptos Narrow"/>
                <w:color w:val="000000"/>
              </w:rPr>
            </w:pPr>
            <w:r>
              <w:rPr>
                <w:rFonts w:ascii="Aptos Narrow" w:hAnsi="Aptos Narrow"/>
                <w:color w:val="000000"/>
              </w:rPr>
              <w:t>GraniteShares 2x Long AAPL Daily ETF</w:t>
            </w:r>
          </w:p>
        </w:tc>
        <w:tc>
          <w:tcPr>
            <w:tcW w:w="1662" w:type="dxa"/>
            <w:tcBorders>
              <w:top w:val="nil"/>
              <w:left w:val="single" w:sz="8" w:space="0" w:color="auto"/>
              <w:bottom w:val="single" w:sz="8" w:space="0" w:color="auto"/>
              <w:right w:val="single" w:sz="8" w:space="0" w:color="auto"/>
            </w:tcBorders>
          </w:tcPr>
          <w:p w14:paraId="6AAB347D" w14:textId="3E7E2CA9" w:rsidR="00E43109" w:rsidRDefault="00E43109" w:rsidP="00703A55">
            <w:pPr>
              <w:spacing w:line="252" w:lineRule="auto"/>
              <w:jc w:val="center"/>
              <w:rPr>
                <w:rFonts w:ascii="Aptos Narrow" w:hAnsi="Aptos Narrow"/>
                <w:color w:val="000000"/>
              </w:rPr>
            </w:pPr>
            <w:r>
              <w:rPr>
                <w:rFonts w:ascii="Aptos Narrow" w:hAnsi="Aptos Narrow"/>
                <w:color w:val="000000"/>
              </w:rPr>
              <w:t>AAPB</w:t>
            </w:r>
          </w:p>
        </w:tc>
        <w:tc>
          <w:tcPr>
            <w:tcW w:w="2070" w:type="dxa"/>
            <w:tcBorders>
              <w:top w:val="nil"/>
              <w:left w:val="single" w:sz="8" w:space="0" w:color="auto"/>
              <w:bottom w:val="single" w:sz="8" w:space="0" w:color="auto"/>
              <w:right w:val="single" w:sz="8" w:space="0" w:color="auto"/>
            </w:tcBorders>
          </w:tcPr>
          <w:p w14:paraId="466D25BC" w14:textId="405759C4" w:rsidR="00E43109" w:rsidRDefault="00E43109" w:rsidP="00703A55">
            <w:pPr>
              <w:spacing w:line="252" w:lineRule="auto"/>
              <w:jc w:val="center"/>
              <w:rPr>
                <w:rFonts w:ascii="Aptos Narrow" w:hAnsi="Aptos Narrow"/>
                <w:color w:val="000000"/>
              </w:rPr>
            </w:pPr>
            <w:r>
              <w:rPr>
                <w:rFonts w:ascii="Aptos Narrow" w:hAnsi="Aptos Narrow"/>
                <w:color w:val="000000"/>
              </w:rPr>
              <w:t>Apple</w:t>
            </w:r>
          </w:p>
        </w:tc>
      </w:tr>
      <w:tr w:rsidR="00E43109" w14:paraId="085D17B0" w14:textId="28D66895" w:rsidTr="009C5948">
        <w:trPr>
          <w:trHeight w:val="300"/>
        </w:trPr>
        <w:tc>
          <w:tcPr>
            <w:tcW w:w="4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D20029" w14:textId="77777777" w:rsidR="00E43109" w:rsidRDefault="00E43109">
            <w:pPr>
              <w:spacing w:line="252" w:lineRule="auto"/>
              <w:rPr>
                <w:rFonts w:ascii="Aptos Narrow" w:hAnsi="Aptos Narrow"/>
                <w:color w:val="000000"/>
              </w:rPr>
            </w:pPr>
            <w:bookmarkStart w:id="0" w:name="_Hlk159789751"/>
            <w:r>
              <w:rPr>
                <w:rFonts w:ascii="Aptos Narrow" w:hAnsi="Aptos Narrow"/>
                <w:color w:val="000000"/>
              </w:rPr>
              <w:t>GraniteShares 2x Long BABA Daily ETF</w:t>
            </w:r>
          </w:p>
        </w:tc>
        <w:tc>
          <w:tcPr>
            <w:tcW w:w="1662" w:type="dxa"/>
            <w:tcBorders>
              <w:top w:val="nil"/>
              <w:left w:val="single" w:sz="8" w:space="0" w:color="auto"/>
              <w:bottom w:val="single" w:sz="8" w:space="0" w:color="auto"/>
              <w:right w:val="single" w:sz="8" w:space="0" w:color="auto"/>
            </w:tcBorders>
          </w:tcPr>
          <w:p w14:paraId="08010829" w14:textId="7CBE6E21" w:rsidR="00E43109" w:rsidRDefault="00E43109" w:rsidP="00703A55">
            <w:pPr>
              <w:spacing w:line="252" w:lineRule="auto"/>
              <w:jc w:val="center"/>
              <w:rPr>
                <w:rFonts w:ascii="Aptos Narrow" w:hAnsi="Aptos Narrow"/>
                <w:color w:val="000000"/>
              </w:rPr>
            </w:pPr>
            <w:r>
              <w:rPr>
                <w:rFonts w:ascii="Aptos Narrow" w:hAnsi="Aptos Narrow"/>
                <w:color w:val="000000"/>
              </w:rPr>
              <w:t>BABX</w:t>
            </w:r>
          </w:p>
        </w:tc>
        <w:tc>
          <w:tcPr>
            <w:tcW w:w="2070" w:type="dxa"/>
            <w:tcBorders>
              <w:top w:val="nil"/>
              <w:left w:val="single" w:sz="8" w:space="0" w:color="auto"/>
              <w:bottom w:val="single" w:sz="8" w:space="0" w:color="auto"/>
              <w:right w:val="single" w:sz="8" w:space="0" w:color="auto"/>
            </w:tcBorders>
          </w:tcPr>
          <w:p w14:paraId="4476F1C6" w14:textId="6CFBA0A3" w:rsidR="00E43109" w:rsidRDefault="00E43109" w:rsidP="00703A55">
            <w:pPr>
              <w:spacing w:line="252" w:lineRule="auto"/>
              <w:jc w:val="center"/>
              <w:rPr>
                <w:rFonts w:ascii="Aptos Narrow" w:hAnsi="Aptos Narrow"/>
                <w:color w:val="000000"/>
              </w:rPr>
            </w:pPr>
            <w:r>
              <w:rPr>
                <w:rFonts w:ascii="Aptos Narrow" w:hAnsi="Aptos Narrow"/>
                <w:color w:val="000000"/>
              </w:rPr>
              <w:t>Alibaba</w:t>
            </w:r>
          </w:p>
        </w:tc>
      </w:tr>
      <w:bookmarkEnd w:id="0"/>
      <w:tr w:rsidR="00E43109" w14:paraId="3AC51813" w14:textId="3F603E17" w:rsidTr="009C5948">
        <w:trPr>
          <w:trHeight w:val="300"/>
        </w:trPr>
        <w:tc>
          <w:tcPr>
            <w:tcW w:w="4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6278E6" w14:textId="77777777" w:rsidR="00E43109" w:rsidRDefault="00E43109">
            <w:pPr>
              <w:spacing w:line="252" w:lineRule="auto"/>
              <w:rPr>
                <w:rFonts w:ascii="Aptos Narrow" w:hAnsi="Aptos Narrow"/>
                <w:color w:val="000000"/>
              </w:rPr>
            </w:pPr>
            <w:r>
              <w:rPr>
                <w:rFonts w:ascii="Aptos Narrow" w:hAnsi="Aptos Narrow"/>
                <w:color w:val="000000"/>
              </w:rPr>
              <w:t>GraniteShares 2x Long COIN Daily ETF</w:t>
            </w:r>
          </w:p>
        </w:tc>
        <w:tc>
          <w:tcPr>
            <w:tcW w:w="1662" w:type="dxa"/>
            <w:tcBorders>
              <w:top w:val="nil"/>
              <w:left w:val="single" w:sz="8" w:space="0" w:color="auto"/>
              <w:bottom w:val="single" w:sz="8" w:space="0" w:color="auto"/>
              <w:right w:val="single" w:sz="8" w:space="0" w:color="auto"/>
            </w:tcBorders>
          </w:tcPr>
          <w:p w14:paraId="517155D3" w14:textId="2CB27217" w:rsidR="00E43109" w:rsidRDefault="00E43109" w:rsidP="00703A55">
            <w:pPr>
              <w:spacing w:line="252" w:lineRule="auto"/>
              <w:jc w:val="center"/>
              <w:rPr>
                <w:rFonts w:ascii="Aptos Narrow" w:hAnsi="Aptos Narrow"/>
                <w:color w:val="000000"/>
              </w:rPr>
            </w:pPr>
            <w:r>
              <w:rPr>
                <w:rFonts w:ascii="Aptos Narrow" w:hAnsi="Aptos Narrow"/>
                <w:color w:val="000000"/>
              </w:rPr>
              <w:t>CONL</w:t>
            </w:r>
          </w:p>
        </w:tc>
        <w:tc>
          <w:tcPr>
            <w:tcW w:w="2070" w:type="dxa"/>
            <w:tcBorders>
              <w:top w:val="nil"/>
              <w:left w:val="single" w:sz="8" w:space="0" w:color="auto"/>
              <w:bottom w:val="single" w:sz="8" w:space="0" w:color="auto"/>
              <w:right w:val="single" w:sz="8" w:space="0" w:color="auto"/>
            </w:tcBorders>
          </w:tcPr>
          <w:p w14:paraId="6A3AC980" w14:textId="3DC147F1" w:rsidR="00E43109" w:rsidRDefault="00E43109" w:rsidP="00703A55">
            <w:pPr>
              <w:spacing w:line="252" w:lineRule="auto"/>
              <w:jc w:val="center"/>
              <w:rPr>
                <w:rFonts w:ascii="Aptos Narrow" w:hAnsi="Aptos Narrow"/>
                <w:color w:val="000000"/>
              </w:rPr>
            </w:pPr>
            <w:r>
              <w:rPr>
                <w:rFonts w:ascii="Aptos Narrow" w:hAnsi="Aptos Narrow"/>
                <w:color w:val="000000"/>
              </w:rPr>
              <w:t>Coinbase</w:t>
            </w:r>
          </w:p>
        </w:tc>
      </w:tr>
      <w:tr w:rsidR="00E43109" w14:paraId="537BCFCC" w14:textId="762C0F21" w:rsidTr="009C5948">
        <w:trPr>
          <w:trHeight w:val="300"/>
        </w:trPr>
        <w:tc>
          <w:tcPr>
            <w:tcW w:w="4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3968F2" w14:textId="77777777" w:rsidR="00E43109" w:rsidRDefault="00E43109">
            <w:pPr>
              <w:spacing w:line="252" w:lineRule="auto"/>
              <w:rPr>
                <w:rFonts w:ascii="Aptos Narrow" w:hAnsi="Aptos Narrow"/>
                <w:color w:val="000000"/>
              </w:rPr>
            </w:pPr>
            <w:r>
              <w:rPr>
                <w:rFonts w:ascii="Aptos Narrow" w:hAnsi="Aptos Narrow"/>
                <w:color w:val="000000"/>
              </w:rPr>
              <w:t>GraniteShares 2x Long META Daily ETF</w:t>
            </w:r>
          </w:p>
        </w:tc>
        <w:tc>
          <w:tcPr>
            <w:tcW w:w="1662" w:type="dxa"/>
            <w:tcBorders>
              <w:top w:val="nil"/>
              <w:left w:val="single" w:sz="8" w:space="0" w:color="auto"/>
              <w:bottom w:val="single" w:sz="8" w:space="0" w:color="auto"/>
              <w:right w:val="single" w:sz="8" w:space="0" w:color="auto"/>
            </w:tcBorders>
          </w:tcPr>
          <w:p w14:paraId="3B99E632" w14:textId="071E519D" w:rsidR="00E43109" w:rsidRDefault="00E43109" w:rsidP="00703A55">
            <w:pPr>
              <w:spacing w:line="252" w:lineRule="auto"/>
              <w:jc w:val="center"/>
              <w:rPr>
                <w:rFonts w:ascii="Aptos Narrow" w:hAnsi="Aptos Narrow"/>
                <w:color w:val="000000"/>
              </w:rPr>
            </w:pPr>
            <w:r>
              <w:rPr>
                <w:rFonts w:ascii="Aptos Narrow" w:hAnsi="Aptos Narrow"/>
                <w:color w:val="000000"/>
              </w:rPr>
              <w:t>FBL</w:t>
            </w:r>
          </w:p>
        </w:tc>
        <w:tc>
          <w:tcPr>
            <w:tcW w:w="2070" w:type="dxa"/>
            <w:tcBorders>
              <w:top w:val="nil"/>
              <w:left w:val="single" w:sz="8" w:space="0" w:color="auto"/>
              <w:bottom w:val="single" w:sz="8" w:space="0" w:color="auto"/>
              <w:right w:val="single" w:sz="8" w:space="0" w:color="auto"/>
            </w:tcBorders>
          </w:tcPr>
          <w:p w14:paraId="134D5097" w14:textId="1EE0B20A" w:rsidR="00E43109" w:rsidRDefault="00E43109" w:rsidP="00703A55">
            <w:pPr>
              <w:spacing w:line="252" w:lineRule="auto"/>
              <w:jc w:val="center"/>
              <w:rPr>
                <w:rFonts w:ascii="Aptos Narrow" w:hAnsi="Aptos Narrow"/>
                <w:color w:val="000000"/>
              </w:rPr>
            </w:pPr>
            <w:r>
              <w:rPr>
                <w:rFonts w:ascii="Aptos Narrow" w:hAnsi="Aptos Narrow"/>
                <w:color w:val="000000"/>
              </w:rPr>
              <w:t>META</w:t>
            </w:r>
          </w:p>
        </w:tc>
      </w:tr>
      <w:tr w:rsidR="00E43109" w14:paraId="54233C72" w14:textId="2C8308F6" w:rsidTr="009C5948">
        <w:trPr>
          <w:trHeight w:val="300"/>
        </w:trPr>
        <w:tc>
          <w:tcPr>
            <w:tcW w:w="4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DFB4AD" w14:textId="77777777" w:rsidR="00E43109" w:rsidRDefault="00E43109">
            <w:pPr>
              <w:spacing w:line="252" w:lineRule="auto"/>
              <w:rPr>
                <w:rFonts w:ascii="Aptos Narrow" w:hAnsi="Aptos Narrow"/>
                <w:color w:val="000000"/>
              </w:rPr>
            </w:pPr>
            <w:r>
              <w:rPr>
                <w:rFonts w:ascii="Aptos Narrow" w:hAnsi="Aptos Narrow"/>
                <w:color w:val="000000"/>
              </w:rPr>
              <w:t>GraniteShares 2x Long NVDA Daily ETF</w:t>
            </w:r>
          </w:p>
        </w:tc>
        <w:tc>
          <w:tcPr>
            <w:tcW w:w="1662" w:type="dxa"/>
            <w:tcBorders>
              <w:top w:val="nil"/>
              <w:left w:val="single" w:sz="8" w:space="0" w:color="auto"/>
              <w:bottom w:val="single" w:sz="8" w:space="0" w:color="auto"/>
              <w:right w:val="single" w:sz="8" w:space="0" w:color="auto"/>
            </w:tcBorders>
          </w:tcPr>
          <w:p w14:paraId="164B30AA" w14:textId="795E811D" w:rsidR="00E43109" w:rsidRDefault="00E43109" w:rsidP="00703A55">
            <w:pPr>
              <w:spacing w:line="252" w:lineRule="auto"/>
              <w:jc w:val="center"/>
              <w:rPr>
                <w:rFonts w:ascii="Aptos Narrow" w:hAnsi="Aptos Narrow"/>
                <w:color w:val="000000"/>
              </w:rPr>
            </w:pPr>
            <w:r>
              <w:rPr>
                <w:rFonts w:ascii="Aptos Narrow" w:hAnsi="Aptos Narrow"/>
                <w:color w:val="000000"/>
              </w:rPr>
              <w:t>NVDL</w:t>
            </w:r>
          </w:p>
        </w:tc>
        <w:tc>
          <w:tcPr>
            <w:tcW w:w="2070" w:type="dxa"/>
            <w:tcBorders>
              <w:top w:val="nil"/>
              <w:left w:val="single" w:sz="8" w:space="0" w:color="auto"/>
              <w:bottom w:val="single" w:sz="8" w:space="0" w:color="auto"/>
              <w:right w:val="single" w:sz="8" w:space="0" w:color="auto"/>
            </w:tcBorders>
          </w:tcPr>
          <w:p w14:paraId="39FB8774" w14:textId="57C0C130" w:rsidR="00E43109" w:rsidRDefault="00E43109" w:rsidP="00703A55">
            <w:pPr>
              <w:spacing w:line="252" w:lineRule="auto"/>
              <w:jc w:val="center"/>
              <w:rPr>
                <w:rFonts w:ascii="Aptos Narrow" w:hAnsi="Aptos Narrow"/>
                <w:color w:val="000000"/>
              </w:rPr>
            </w:pPr>
            <w:r>
              <w:rPr>
                <w:rFonts w:ascii="Aptos Narrow" w:hAnsi="Aptos Narrow"/>
                <w:color w:val="000000"/>
              </w:rPr>
              <w:t>NVIDIA</w:t>
            </w:r>
          </w:p>
        </w:tc>
      </w:tr>
      <w:tr w:rsidR="00E43109" w14:paraId="3C750926" w14:textId="2BA86F5C" w:rsidTr="009C5948">
        <w:trPr>
          <w:trHeight w:val="300"/>
        </w:trPr>
        <w:tc>
          <w:tcPr>
            <w:tcW w:w="4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D2B4F5" w14:textId="77777777" w:rsidR="00E43109" w:rsidRDefault="00E43109">
            <w:pPr>
              <w:spacing w:line="252" w:lineRule="auto"/>
              <w:rPr>
                <w:rFonts w:ascii="Aptos Narrow" w:hAnsi="Aptos Narrow"/>
                <w:color w:val="000000"/>
              </w:rPr>
            </w:pPr>
            <w:r>
              <w:rPr>
                <w:rFonts w:ascii="Aptos Narrow" w:hAnsi="Aptos Narrow"/>
                <w:color w:val="000000"/>
              </w:rPr>
              <w:t>GraniteShares 2x Short NVDA Daily ETF</w:t>
            </w:r>
          </w:p>
        </w:tc>
        <w:tc>
          <w:tcPr>
            <w:tcW w:w="1662" w:type="dxa"/>
            <w:tcBorders>
              <w:top w:val="nil"/>
              <w:left w:val="single" w:sz="8" w:space="0" w:color="auto"/>
              <w:bottom w:val="single" w:sz="8" w:space="0" w:color="auto"/>
              <w:right w:val="single" w:sz="8" w:space="0" w:color="auto"/>
            </w:tcBorders>
          </w:tcPr>
          <w:p w14:paraId="34997478" w14:textId="13E54520" w:rsidR="00E43109" w:rsidRDefault="00E43109" w:rsidP="00703A55">
            <w:pPr>
              <w:spacing w:line="252" w:lineRule="auto"/>
              <w:jc w:val="center"/>
              <w:rPr>
                <w:rFonts w:ascii="Aptos Narrow" w:hAnsi="Aptos Narrow"/>
                <w:color w:val="000000"/>
              </w:rPr>
            </w:pPr>
            <w:r>
              <w:rPr>
                <w:rFonts w:ascii="Aptos Narrow" w:hAnsi="Aptos Narrow"/>
                <w:color w:val="000000"/>
              </w:rPr>
              <w:t>NVD</w:t>
            </w:r>
          </w:p>
        </w:tc>
        <w:tc>
          <w:tcPr>
            <w:tcW w:w="2070" w:type="dxa"/>
            <w:tcBorders>
              <w:top w:val="nil"/>
              <w:left w:val="single" w:sz="8" w:space="0" w:color="auto"/>
              <w:bottom w:val="single" w:sz="8" w:space="0" w:color="auto"/>
              <w:right w:val="single" w:sz="8" w:space="0" w:color="auto"/>
            </w:tcBorders>
          </w:tcPr>
          <w:p w14:paraId="77C4F775" w14:textId="0ACB8A9A" w:rsidR="00E43109" w:rsidRDefault="00E43109" w:rsidP="00703A55">
            <w:pPr>
              <w:spacing w:line="252" w:lineRule="auto"/>
              <w:jc w:val="center"/>
              <w:rPr>
                <w:rFonts w:ascii="Aptos Narrow" w:hAnsi="Aptos Narrow"/>
                <w:color w:val="000000"/>
              </w:rPr>
            </w:pPr>
            <w:r>
              <w:rPr>
                <w:rFonts w:ascii="Aptos Narrow" w:hAnsi="Aptos Narrow"/>
                <w:color w:val="000000"/>
              </w:rPr>
              <w:t>NVIDIA</w:t>
            </w:r>
          </w:p>
        </w:tc>
      </w:tr>
      <w:tr w:rsidR="00E43109" w14:paraId="481E5AD6" w14:textId="5F6E25E5" w:rsidTr="009C5948">
        <w:trPr>
          <w:trHeight w:val="300"/>
        </w:trPr>
        <w:tc>
          <w:tcPr>
            <w:tcW w:w="4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ECD117" w14:textId="77777777" w:rsidR="00E43109" w:rsidRDefault="00E43109">
            <w:pPr>
              <w:spacing w:line="252" w:lineRule="auto"/>
              <w:rPr>
                <w:rFonts w:ascii="Aptos Narrow" w:hAnsi="Aptos Narrow"/>
                <w:color w:val="000000"/>
              </w:rPr>
            </w:pPr>
            <w:r>
              <w:rPr>
                <w:rFonts w:ascii="Aptos Narrow" w:hAnsi="Aptos Narrow"/>
                <w:color w:val="000000"/>
              </w:rPr>
              <w:t>GraniteShares 2x Long TSLA Daily ETF</w:t>
            </w:r>
          </w:p>
        </w:tc>
        <w:tc>
          <w:tcPr>
            <w:tcW w:w="1662" w:type="dxa"/>
            <w:tcBorders>
              <w:top w:val="nil"/>
              <w:left w:val="single" w:sz="8" w:space="0" w:color="auto"/>
              <w:bottom w:val="single" w:sz="8" w:space="0" w:color="auto"/>
              <w:right w:val="single" w:sz="8" w:space="0" w:color="auto"/>
            </w:tcBorders>
          </w:tcPr>
          <w:p w14:paraId="288DDA41" w14:textId="132B7C2B" w:rsidR="00E43109" w:rsidRDefault="00E43109" w:rsidP="00703A55">
            <w:pPr>
              <w:spacing w:line="252" w:lineRule="auto"/>
              <w:jc w:val="center"/>
              <w:rPr>
                <w:rFonts w:ascii="Aptos Narrow" w:hAnsi="Aptos Narrow"/>
                <w:color w:val="000000"/>
              </w:rPr>
            </w:pPr>
            <w:r>
              <w:rPr>
                <w:rFonts w:ascii="Aptos Narrow" w:hAnsi="Aptos Narrow"/>
                <w:color w:val="000000"/>
              </w:rPr>
              <w:t>TSLR</w:t>
            </w:r>
          </w:p>
        </w:tc>
        <w:tc>
          <w:tcPr>
            <w:tcW w:w="2070" w:type="dxa"/>
            <w:tcBorders>
              <w:top w:val="nil"/>
              <w:left w:val="single" w:sz="8" w:space="0" w:color="auto"/>
              <w:bottom w:val="single" w:sz="8" w:space="0" w:color="auto"/>
              <w:right w:val="single" w:sz="8" w:space="0" w:color="auto"/>
            </w:tcBorders>
          </w:tcPr>
          <w:p w14:paraId="1FB09A16" w14:textId="709E5279" w:rsidR="00E43109" w:rsidRDefault="00E43109" w:rsidP="00703A55">
            <w:pPr>
              <w:spacing w:line="252" w:lineRule="auto"/>
              <w:jc w:val="center"/>
              <w:rPr>
                <w:rFonts w:ascii="Aptos Narrow" w:hAnsi="Aptos Narrow"/>
                <w:color w:val="000000"/>
              </w:rPr>
            </w:pPr>
            <w:r>
              <w:rPr>
                <w:rFonts w:ascii="Aptos Narrow" w:hAnsi="Aptos Narrow"/>
                <w:color w:val="000000"/>
              </w:rPr>
              <w:t>Tesla</w:t>
            </w:r>
          </w:p>
        </w:tc>
      </w:tr>
      <w:tr w:rsidR="00E43109" w14:paraId="5597180A" w14:textId="135E627D" w:rsidTr="009C5948">
        <w:trPr>
          <w:trHeight w:val="300"/>
        </w:trPr>
        <w:tc>
          <w:tcPr>
            <w:tcW w:w="4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8FAAC5" w14:textId="77777777" w:rsidR="00E43109" w:rsidRDefault="00E43109">
            <w:pPr>
              <w:spacing w:line="252" w:lineRule="auto"/>
              <w:rPr>
                <w:rFonts w:ascii="Aptos Narrow" w:hAnsi="Aptos Narrow"/>
                <w:color w:val="000000"/>
              </w:rPr>
            </w:pPr>
            <w:r>
              <w:rPr>
                <w:rFonts w:ascii="Aptos Narrow" w:hAnsi="Aptos Narrow"/>
                <w:color w:val="000000"/>
              </w:rPr>
              <w:t>GraniteShares 2x Short TSLA Daily ETF</w:t>
            </w:r>
          </w:p>
        </w:tc>
        <w:tc>
          <w:tcPr>
            <w:tcW w:w="1662" w:type="dxa"/>
            <w:tcBorders>
              <w:top w:val="nil"/>
              <w:left w:val="single" w:sz="8" w:space="0" w:color="auto"/>
              <w:bottom w:val="single" w:sz="8" w:space="0" w:color="auto"/>
              <w:right w:val="single" w:sz="8" w:space="0" w:color="auto"/>
            </w:tcBorders>
          </w:tcPr>
          <w:p w14:paraId="13C101E0" w14:textId="150C360E" w:rsidR="00E43109" w:rsidRDefault="00E43109" w:rsidP="00703A55">
            <w:pPr>
              <w:spacing w:line="252" w:lineRule="auto"/>
              <w:jc w:val="center"/>
              <w:rPr>
                <w:rFonts w:ascii="Aptos Narrow" w:hAnsi="Aptos Narrow"/>
                <w:color w:val="000000"/>
              </w:rPr>
            </w:pPr>
            <w:r>
              <w:rPr>
                <w:rFonts w:ascii="Aptos Narrow" w:hAnsi="Aptos Narrow"/>
                <w:color w:val="000000"/>
              </w:rPr>
              <w:t>TSDD</w:t>
            </w:r>
          </w:p>
        </w:tc>
        <w:tc>
          <w:tcPr>
            <w:tcW w:w="2070" w:type="dxa"/>
            <w:tcBorders>
              <w:top w:val="nil"/>
              <w:left w:val="single" w:sz="8" w:space="0" w:color="auto"/>
              <w:bottom w:val="single" w:sz="8" w:space="0" w:color="auto"/>
              <w:right w:val="single" w:sz="8" w:space="0" w:color="auto"/>
            </w:tcBorders>
          </w:tcPr>
          <w:p w14:paraId="26F509C9" w14:textId="7FE3D486" w:rsidR="00E43109" w:rsidRDefault="00E43109" w:rsidP="00703A55">
            <w:pPr>
              <w:spacing w:line="252" w:lineRule="auto"/>
              <w:jc w:val="center"/>
              <w:rPr>
                <w:rFonts w:ascii="Aptos Narrow" w:hAnsi="Aptos Narrow"/>
                <w:color w:val="000000"/>
              </w:rPr>
            </w:pPr>
            <w:r>
              <w:rPr>
                <w:rFonts w:ascii="Aptos Narrow" w:hAnsi="Aptos Narrow"/>
                <w:color w:val="000000"/>
              </w:rPr>
              <w:t>Tesla</w:t>
            </w:r>
          </w:p>
        </w:tc>
      </w:tr>
      <w:tr w:rsidR="00BE3004" w14:paraId="5423C5F9" w14:textId="77777777" w:rsidTr="009C5948">
        <w:trPr>
          <w:trHeight w:val="300"/>
        </w:trPr>
        <w:tc>
          <w:tcPr>
            <w:tcW w:w="4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143FEF" w14:textId="2B677B53" w:rsidR="00BE3004" w:rsidRPr="00900E10" w:rsidRDefault="00BE3004" w:rsidP="00BE3004">
            <w:pPr>
              <w:spacing w:line="252" w:lineRule="auto"/>
              <w:rPr>
                <w:rFonts w:ascii="Aptos Narrow" w:hAnsi="Aptos Narrow"/>
                <w:color w:val="000000"/>
              </w:rPr>
            </w:pPr>
            <w:r w:rsidRPr="00900E10">
              <w:rPr>
                <w:rFonts w:ascii="Aptos Narrow" w:hAnsi="Aptos Narrow"/>
                <w:color w:val="000000"/>
              </w:rPr>
              <w:t>GraniteShares 1.25x Long TSLA Daily ETF</w:t>
            </w:r>
          </w:p>
        </w:tc>
        <w:tc>
          <w:tcPr>
            <w:tcW w:w="1662" w:type="dxa"/>
            <w:tcBorders>
              <w:top w:val="nil"/>
              <w:left w:val="single" w:sz="8" w:space="0" w:color="auto"/>
              <w:bottom w:val="single" w:sz="8" w:space="0" w:color="auto"/>
              <w:right w:val="single" w:sz="8" w:space="0" w:color="auto"/>
            </w:tcBorders>
          </w:tcPr>
          <w:p w14:paraId="4EE56AF9" w14:textId="3BF2F698" w:rsidR="00BE3004" w:rsidRPr="00900E10" w:rsidRDefault="00BE3004" w:rsidP="00703A55">
            <w:pPr>
              <w:spacing w:line="252" w:lineRule="auto"/>
              <w:jc w:val="center"/>
              <w:rPr>
                <w:rFonts w:ascii="Aptos Narrow" w:hAnsi="Aptos Narrow"/>
                <w:color w:val="000000"/>
              </w:rPr>
            </w:pPr>
            <w:r w:rsidRPr="00900E10">
              <w:rPr>
                <w:rFonts w:ascii="Aptos Narrow" w:hAnsi="Aptos Narrow"/>
                <w:color w:val="000000"/>
              </w:rPr>
              <w:t>TSL</w:t>
            </w:r>
          </w:p>
        </w:tc>
        <w:tc>
          <w:tcPr>
            <w:tcW w:w="2070" w:type="dxa"/>
            <w:tcBorders>
              <w:top w:val="nil"/>
              <w:left w:val="single" w:sz="8" w:space="0" w:color="auto"/>
              <w:bottom w:val="single" w:sz="8" w:space="0" w:color="auto"/>
              <w:right w:val="single" w:sz="8" w:space="0" w:color="auto"/>
            </w:tcBorders>
          </w:tcPr>
          <w:p w14:paraId="5245A04F" w14:textId="72EAFE15" w:rsidR="00BE3004" w:rsidRPr="00900E10" w:rsidRDefault="00BE3004" w:rsidP="00703A55">
            <w:pPr>
              <w:spacing w:line="252" w:lineRule="auto"/>
              <w:jc w:val="center"/>
              <w:rPr>
                <w:rFonts w:ascii="Aptos Narrow" w:hAnsi="Aptos Narrow"/>
                <w:color w:val="000000"/>
              </w:rPr>
            </w:pPr>
            <w:r w:rsidRPr="00900E10">
              <w:rPr>
                <w:rFonts w:ascii="Aptos Narrow" w:hAnsi="Aptos Narrow"/>
                <w:color w:val="000000"/>
              </w:rPr>
              <w:t>Tesla</w:t>
            </w:r>
          </w:p>
        </w:tc>
      </w:tr>
      <w:tr w:rsidR="00BE3004" w14:paraId="1C6D2E9E" w14:textId="26948278" w:rsidTr="009C5948">
        <w:trPr>
          <w:trHeight w:val="300"/>
        </w:trPr>
        <w:tc>
          <w:tcPr>
            <w:tcW w:w="4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B78381" w14:textId="698FFFB8" w:rsidR="00BE3004" w:rsidRPr="00900E10" w:rsidRDefault="00BE3004" w:rsidP="00BE3004">
            <w:pPr>
              <w:spacing w:line="252" w:lineRule="auto"/>
              <w:rPr>
                <w:rFonts w:ascii="Aptos Narrow" w:hAnsi="Aptos Narrow"/>
                <w:color w:val="000000"/>
              </w:rPr>
            </w:pPr>
            <w:r w:rsidRPr="00900E10">
              <w:rPr>
                <w:rFonts w:ascii="Aptos Narrow" w:hAnsi="Aptos Narrow"/>
                <w:color w:val="000000"/>
              </w:rPr>
              <w:t>GraniteShares 2X Long AMD Daily ETF</w:t>
            </w:r>
          </w:p>
        </w:tc>
        <w:tc>
          <w:tcPr>
            <w:tcW w:w="1662" w:type="dxa"/>
            <w:tcBorders>
              <w:top w:val="nil"/>
              <w:left w:val="single" w:sz="8" w:space="0" w:color="auto"/>
              <w:bottom w:val="single" w:sz="8" w:space="0" w:color="auto"/>
              <w:right w:val="single" w:sz="8" w:space="0" w:color="auto"/>
            </w:tcBorders>
          </w:tcPr>
          <w:p w14:paraId="4A3CE014" w14:textId="59D8FDC6" w:rsidR="00BE3004" w:rsidRPr="00900E10" w:rsidRDefault="00BE3004" w:rsidP="00703A55">
            <w:pPr>
              <w:spacing w:line="252" w:lineRule="auto"/>
              <w:jc w:val="center"/>
              <w:rPr>
                <w:rFonts w:ascii="Aptos Narrow" w:hAnsi="Aptos Narrow"/>
                <w:color w:val="000000"/>
              </w:rPr>
            </w:pPr>
            <w:r w:rsidRPr="00900E10">
              <w:rPr>
                <w:rFonts w:ascii="Aptos Narrow" w:hAnsi="Aptos Narrow"/>
                <w:color w:val="000000"/>
              </w:rPr>
              <w:t>AMDL</w:t>
            </w:r>
          </w:p>
        </w:tc>
        <w:tc>
          <w:tcPr>
            <w:tcW w:w="2070" w:type="dxa"/>
            <w:tcBorders>
              <w:top w:val="nil"/>
              <w:left w:val="single" w:sz="8" w:space="0" w:color="auto"/>
              <w:bottom w:val="single" w:sz="8" w:space="0" w:color="auto"/>
              <w:right w:val="single" w:sz="8" w:space="0" w:color="auto"/>
            </w:tcBorders>
          </w:tcPr>
          <w:p w14:paraId="2A5DFD74" w14:textId="222BC2BE" w:rsidR="00BE3004" w:rsidRPr="00900E10" w:rsidRDefault="00BE3004" w:rsidP="00703A55">
            <w:pPr>
              <w:spacing w:line="252" w:lineRule="auto"/>
              <w:jc w:val="center"/>
              <w:rPr>
                <w:rFonts w:ascii="Aptos Narrow" w:hAnsi="Aptos Narrow"/>
                <w:color w:val="000000"/>
              </w:rPr>
            </w:pPr>
            <w:r w:rsidRPr="00900E10">
              <w:rPr>
                <w:rFonts w:ascii="Aptos Narrow" w:hAnsi="Aptos Narrow"/>
                <w:color w:val="000000"/>
              </w:rPr>
              <w:t>AMD</w:t>
            </w:r>
          </w:p>
        </w:tc>
      </w:tr>
      <w:tr w:rsidR="00BE3004" w14:paraId="5CEE0CC1" w14:textId="77777777" w:rsidTr="009C5948">
        <w:trPr>
          <w:trHeight w:val="300"/>
        </w:trPr>
        <w:tc>
          <w:tcPr>
            <w:tcW w:w="4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922E93" w14:textId="4C922F11" w:rsidR="00BE3004" w:rsidRPr="00900E10" w:rsidRDefault="00BE3004" w:rsidP="00BE3004">
            <w:pPr>
              <w:spacing w:line="252" w:lineRule="auto"/>
              <w:rPr>
                <w:rFonts w:ascii="Aptos Narrow" w:hAnsi="Aptos Narrow"/>
                <w:color w:val="000000"/>
              </w:rPr>
            </w:pPr>
            <w:r w:rsidRPr="00900E10">
              <w:rPr>
                <w:rFonts w:ascii="Aptos Narrow" w:hAnsi="Aptos Narrow"/>
                <w:color w:val="000000"/>
              </w:rPr>
              <w:lastRenderedPageBreak/>
              <w:t>GraniteShares 1x Short AMD Daily ETF</w:t>
            </w:r>
          </w:p>
        </w:tc>
        <w:tc>
          <w:tcPr>
            <w:tcW w:w="1662" w:type="dxa"/>
            <w:tcBorders>
              <w:top w:val="nil"/>
              <w:left w:val="single" w:sz="8" w:space="0" w:color="auto"/>
              <w:bottom w:val="single" w:sz="8" w:space="0" w:color="auto"/>
              <w:right w:val="single" w:sz="8" w:space="0" w:color="auto"/>
            </w:tcBorders>
          </w:tcPr>
          <w:p w14:paraId="4E11919F" w14:textId="1F2489F3" w:rsidR="00BE3004" w:rsidRPr="00900E10" w:rsidRDefault="00BE3004" w:rsidP="00703A55">
            <w:pPr>
              <w:spacing w:line="252" w:lineRule="auto"/>
              <w:jc w:val="center"/>
              <w:rPr>
                <w:rFonts w:ascii="Aptos Narrow" w:hAnsi="Aptos Narrow"/>
                <w:color w:val="000000"/>
              </w:rPr>
            </w:pPr>
            <w:r w:rsidRPr="00900E10">
              <w:rPr>
                <w:rFonts w:ascii="Aptos Narrow" w:hAnsi="Aptos Narrow"/>
                <w:color w:val="000000"/>
              </w:rPr>
              <w:t>AMDS</w:t>
            </w:r>
          </w:p>
        </w:tc>
        <w:tc>
          <w:tcPr>
            <w:tcW w:w="2070" w:type="dxa"/>
            <w:tcBorders>
              <w:top w:val="nil"/>
              <w:left w:val="single" w:sz="8" w:space="0" w:color="auto"/>
              <w:bottom w:val="single" w:sz="8" w:space="0" w:color="auto"/>
              <w:right w:val="single" w:sz="8" w:space="0" w:color="auto"/>
            </w:tcBorders>
          </w:tcPr>
          <w:p w14:paraId="130C60E6" w14:textId="57CD02E5" w:rsidR="00BE3004" w:rsidRPr="00900E10" w:rsidRDefault="00BE3004" w:rsidP="00703A55">
            <w:pPr>
              <w:spacing w:line="252" w:lineRule="auto"/>
              <w:jc w:val="center"/>
              <w:rPr>
                <w:rFonts w:ascii="Aptos Narrow" w:hAnsi="Aptos Narrow"/>
                <w:color w:val="000000"/>
              </w:rPr>
            </w:pPr>
            <w:r w:rsidRPr="00900E10">
              <w:rPr>
                <w:rFonts w:ascii="Aptos Narrow" w:hAnsi="Aptos Narrow"/>
                <w:color w:val="000000"/>
              </w:rPr>
              <w:t>AMD</w:t>
            </w:r>
          </w:p>
        </w:tc>
      </w:tr>
      <w:tr w:rsidR="00BE3004" w14:paraId="5EB5E5C4" w14:textId="7B04102D" w:rsidTr="009C5948">
        <w:trPr>
          <w:trHeight w:val="300"/>
        </w:trPr>
        <w:tc>
          <w:tcPr>
            <w:tcW w:w="4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E3FB40" w14:textId="0E53BBE9" w:rsidR="00BE3004" w:rsidRDefault="00BE3004" w:rsidP="00BE3004">
            <w:pPr>
              <w:spacing w:line="252" w:lineRule="auto"/>
              <w:rPr>
                <w:rFonts w:ascii="Aptos Narrow" w:hAnsi="Aptos Narrow"/>
                <w:color w:val="000000"/>
              </w:rPr>
            </w:pPr>
            <w:r>
              <w:rPr>
                <w:rFonts w:ascii="Aptos Narrow" w:hAnsi="Aptos Narrow"/>
                <w:color w:val="000000"/>
              </w:rPr>
              <w:t>GraniteShares 2X Long AMZN Daily ETF</w:t>
            </w:r>
          </w:p>
        </w:tc>
        <w:tc>
          <w:tcPr>
            <w:tcW w:w="1662" w:type="dxa"/>
            <w:tcBorders>
              <w:top w:val="single" w:sz="8" w:space="0" w:color="auto"/>
              <w:left w:val="single" w:sz="8" w:space="0" w:color="auto"/>
              <w:bottom w:val="single" w:sz="8" w:space="0" w:color="auto"/>
              <w:right w:val="single" w:sz="8" w:space="0" w:color="auto"/>
            </w:tcBorders>
          </w:tcPr>
          <w:p w14:paraId="172AC435" w14:textId="111DAE21" w:rsidR="00BE3004" w:rsidRDefault="00BE3004" w:rsidP="00703A55">
            <w:pPr>
              <w:spacing w:line="252" w:lineRule="auto"/>
              <w:jc w:val="center"/>
              <w:rPr>
                <w:rFonts w:ascii="Aptos Narrow" w:hAnsi="Aptos Narrow"/>
                <w:color w:val="000000"/>
              </w:rPr>
            </w:pPr>
            <w:r>
              <w:rPr>
                <w:rFonts w:ascii="Aptos Narrow" w:hAnsi="Aptos Narrow"/>
                <w:color w:val="000000"/>
              </w:rPr>
              <w:t>AMZZ</w:t>
            </w:r>
          </w:p>
        </w:tc>
        <w:tc>
          <w:tcPr>
            <w:tcW w:w="2070" w:type="dxa"/>
            <w:tcBorders>
              <w:top w:val="nil"/>
              <w:left w:val="single" w:sz="8" w:space="0" w:color="auto"/>
              <w:bottom w:val="single" w:sz="8" w:space="0" w:color="auto"/>
              <w:right w:val="single" w:sz="8" w:space="0" w:color="auto"/>
            </w:tcBorders>
          </w:tcPr>
          <w:p w14:paraId="65ED88A1" w14:textId="49CE327F" w:rsidR="00BE3004" w:rsidRDefault="00BE3004" w:rsidP="00703A55">
            <w:pPr>
              <w:spacing w:line="252" w:lineRule="auto"/>
              <w:jc w:val="center"/>
              <w:rPr>
                <w:rFonts w:ascii="Aptos Narrow" w:hAnsi="Aptos Narrow"/>
                <w:color w:val="000000"/>
              </w:rPr>
            </w:pPr>
            <w:r>
              <w:rPr>
                <w:rFonts w:ascii="Aptos Narrow" w:hAnsi="Aptos Narrow"/>
                <w:color w:val="000000"/>
              </w:rPr>
              <w:t>Amazon</w:t>
            </w:r>
          </w:p>
        </w:tc>
      </w:tr>
      <w:tr w:rsidR="00BE3004" w14:paraId="05BE1769" w14:textId="00D96C57" w:rsidTr="009C5948">
        <w:trPr>
          <w:trHeight w:val="300"/>
        </w:trPr>
        <w:tc>
          <w:tcPr>
            <w:tcW w:w="4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A04B06" w14:textId="4A70D864" w:rsidR="00BE3004" w:rsidRDefault="00BE3004" w:rsidP="00BE3004">
            <w:pPr>
              <w:spacing w:line="252" w:lineRule="auto"/>
              <w:rPr>
                <w:rFonts w:ascii="Aptos Narrow" w:hAnsi="Aptos Narrow"/>
                <w:color w:val="000000"/>
              </w:rPr>
            </w:pPr>
            <w:r>
              <w:rPr>
                <w:rFonts w:ascii="Aptos Narrow" w:hAnsi="Aptos Narrow"/>
                <w:color w:val="000000"/>
              </w:rPr>
              <w:t>GraniteShares 2X Long MSFT Daily ETF</w:t>
            </w:r>
          </w:p>
        </w:tc>
        <w:tc>
          <w:tcPr>
            <w:tcW w:w="1662" w:type="dxa"/>
            <w:tcBorders>
              <w:top w:val="single" w:sz="8" w:space="0" w:color="auto"/>
              <w:left w:val="single" w:sz="8" w:space="0" w:color="auto"/>
              <w:bottom w:val="single" w:sz="8" w:space="0" w:color="auto"/>
              <w:right w:val="single" w:sz="8" w:space="0" w:color="auto"/>
            </w:tcBorders>
          </w:tcPr>
          <w:p w14:paraId="296AEACA" w14:textId="6B88E55B" w:rsidR="00BE3004" w:rsidRDefault="00BE3004" w:rsidP="00703A55">
            <w:pPr>
              <w:spacing w:line="252" w:lineRule="auto"/>
              <w:jc w:val="center"/>
              <w:rPr>
                <w:rFonts w:ascii="Aptos Narrow" w:hAnsi="Aptos Narrow"/>
                <w:color w:val="000000"/>
              </w:rPr>
            </w:pPr>
            <w:r>
              <w:rPr>
                <w:rFonts w:ascii="Aptos Narrow" w:hAnsi="Aptos Narrow"/>
                <w:color w:val="000000"/>
              </w:rPr>
              <w:t>MSFL</w:t>
            </w:r>
          </w:p>
        </w:tc>
        <w:tc>
          <w:tcPr>
            <w:tcW w:w="2070" w:type="dxa"/>
            <w:tcBorders>
              <w:top w:val="single" w:sz="8" w:space="0" w:color="auto"/>
              <w:left w:val="single" w:sz="8" w:space="0" w:color="auto"/>
              <w:bottom w:val="single" w:sz="8" w:space="0" w:color="auto"/>
              <w:right w:val="single" w:sz="8" w:space="0" w:color="auto"/>
            </w:tcBorders>
          </w:tcPr>
          <w:p w14:paraId="301DF4A9" w14:textId="3534FB99" w:rsidR="00BE3004" w:rsidRDefault="00BE3004" w:rsidP="00703A55">
            <w:pPr>
              <w:spacing w:line="252" w:lineRule="auto"/>
              <w:jc w:val="center"/>
              <w:rPr>
                <w:rFonts w:ascii="Aptos Narrow" w:hAnsi="Aptos Narrow"/>
                <w:color w:val="000000"/>
              </w:rPr>
            </w:pPr>
            <w:r>
              <w:rPr>
                <w:rFonts w:ascii="Aptos Narrow" w:hAnsi="Aptos Narrow"/>
                <w:color w:val="000000"/>
              </w:rPr>
              <w:t>Microsoft</w:t>
            </w:r>
          </w:p>
        </w:tc>
      </w:tr>
      <w:tr w:rsidR="003E7F95" w14:paraId="42E20F10" w14:textId="77777777" w:rsidTr="009C5948">
        <w:trPr>
          <w:trHeight w:val="300"/>
        </w:trPr>
        <w:tc>
          <w:tcPr>
            <w:tcW w:w="4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048BB4" w14:textId="24E3ED8E" w:rsidR="003E7F95" w:rsidRDefault="003E7F95" w:rsidP="003E7F95">
            <w:pPr>
              <w:spacing w:line="252" w:lineRule="auto"/>
              <w:rPr>
                <w:rFonts w:ascii="Aptos Narrow" w:hAnsi="Aptos Narrow"/>
                <w:color w:val="000000"/>
              </w:rPr>
            </w:pPr>
            <w:r>
              <w:rPr>
                <w:rFonts w:ascii="Aptos Narrow" w:hAnsi="Aptos Narrow"/>
                <w:color w:val="000000"/>
              </w:rPr>
              <w:t>GraniteShares 2x Long PLTR Daily ETF</w:t>
            </w:r>
          </w:p>
        </w:tc>
        <w:tc>
          <w:tcPr>
            <w:tcW w:w="1662" w:type="dxa"/>
            <w:tcBorders>
              <w:top w:val="single" w:sz="8" w:space="0" w:color="auto"/>
              <w:left w:val="single" w:sz="8" w:space="0" w:color="auto"/>
              <w:bottom w:val="single" w:sz="8" w:space="0" w:color="auto"/>
              <w:right w:val="single" w:sz="8" w:space="0" w:color="auto"/>
            </w:tcBorders>
          </w:tcPr>
          <w:p w14:paraId="1D705F58" w14:textId="714F400D" w:rsidR="003E7F95" w:rsidRDefault="003E7F95" w:rsidP="003E7F95">
            <w:pPr>
              <w:spacing w:line="252" w:lineRule="auto"/>
              <w:jc w:val="center"/>
              <w:rPr>
                <w:rFonts w:ascii="Aptos Narrow" w:hAnsi="Aptos Narrow"/>
                <w:color w:val="000000"/>
              </w:rPr>
            </w:pPr>
            <w:r>
              <w:rPr>
                <w:rFonts w:ascii="Aptos Narrow" w:hAnsi="Aptos Narrow"/>
                <w:color w:val="000000"/>
              </w:rPr>
              <w:t>PT</w:t>
            </w:r>
            <w:r w:rsidR="003C698C">
              <w:rPr>
                <w:rFonts w:ascii="Aptos Narrow" w:hAnsi="Aptos Narrow"/>
                <w:color w:val="000000"/>
              </w:rPr>
              <w:t>I</w:t>
            </w:r>
            <w:r>
              <w:rPr>
                <w:rFonts w:ascii="Aptos Narrow" w:hAnsi="Aptos Narrow"/>
                <w:color w:val="000000"/>
              </w:rPr>
              <w:t>R</w:t>
            </w:r>
          </w:p>
        </w:tc>
        <w:tc>
          <w:tcPr>
            <w:tcW w:w="2070" w:type="dxa"/>
            <w:tcBorders>
              <w:top w:val="single" w:sz="8" w:space="0" w:color="auto"/>
              <w:left w:val="single" w:sz="8" w:space="0" w:color="auto"/>
              <w:bottom w:val="single" w:sz="8" w:space="0" w:color="auto"/>
              <w:right w:val="single" w:sz="8" w:space="0" w:color="auto"/>
            </w:tcBorders>
          </w:tcPr>
          <w:p w14:paraId="7B067C78" w14:textId="346130B4" w:rsidR="003E7F95" w:rsidRDefault="003E7F95" w:rsidP="003E7F95">
            <w:pPr>
              <w:spacing w:line="252" w:lineRule="auto"/>
              <w:jc w:val="center"/>
              <w:rPr>
                <w:rFonts w:ascii="Aptos Narrow" w:hAnsi="Aptos Narrow"/>
                <w:color w:val="000000"/>
              </w:rPr>
            </w:pPr>
            <w:r>
              <w:rPr>
                <w:rFonts w:ascii="Aptos Narrow" w:hAnsi="Aptos Narrow"/>
                <w:color w:val="000000"/>
              </w:rPr>
              <w:t xml:space="preserve">Palantir </w:t>
            </w:r>
          </w:p>
        </w:tc>
      </w:tr>
      <w:tr w:rsidR="003E7F95" w14:paraId="2A355F0A" w14:textId="77777777" w:rsidTr="009C5948">
        <w:trPr>
          <w:trHeight w:val="313"/>
        </w:trPr>
        <w:tc>
          <w:tcPr>
            <w:tcW w:w="4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D00B1A" w14:textId="0F43ACEE" w:rsidR="003E7F95" w:rsidRDefault="003E7F95" w:rsidP="003E7F95">
            <w:pPr>
              <w:spacing w:line="252" w:lineRule="auto"/>
              <w:rPr>
                <w:rFonts w:ascii="Aptos Narrow" w:hAnsi="Aptos Narrow"/>
                <w:color w:val="000000"/>
              </w:rPr>
            </w:pPr>
            <w:r>
              <w:rPr>
                <w:rFonts w:ascii="Aptos Narrow" w:hAnsi="Aptos Narrow"/>
                <w:color w:val="000000"/>
              </w:rPr>
              <w:t>GraniteShares 2x Long UBER Daily ETF</w:t>
            </w:r>
          </w:p>
        </w:tc>
        <w:tc>
          <w:tcPr>
            <w:tcW w:w="1662" w:type="dxa"/>
            <w:tcBorders>
              <w:top w:val="single" w:sz="8" w:space="0" w:color="auto"/>
              <w:left w:val="single" w:sz="8" w:space="0" w:color="auto"/>
              <w:bottom w:val="single" w:sz="8" w:space="0" w:color="auto"/>
              <w:right w:val="single" w:sz="8" w:space="0" w:color="auto"/>
            </w:tcBorders>
          </w:tcPr>
          <w:p w14:paraId="6C46CC25" w14:textId="625043CA" w:rsidR="003E7F95" w:rsidRDefault="003E7F95" w:rsidP="003E7F95">
            <w:pPr>
              <w:spacing w:line="252" w:lineRule="auto"/>
              <w:jc w:val="center"/>
              <w:rPr>
                <w:rFonts w:ascii="Aptos Narrow" w:hAnsi="Aptos Narrow"/>
                <w:color w:val="000000"/>
              </w:rPr>
            </w:pPr>
            <w:r>
              <w:rPr>
                <w:rFonts w:ascii="Aptos Narrow" w:hAnsi="Aptos Narrow"/>
                <w:color w:val="000000"/>
              </w:rPr>
              <w:t>UBRL</w:t>
            </w:r>
          </w:p>
        </w:tc>
        <w:tc>
          <w:tcPr>
            <w:tcW w:w="2070" w:type="dxa"/>
            <w:tcBorders>
              <w:top w:val="single" w:sz="8" w:space="0" w:color="auto"/>
              <w:left w:val="single" w:sz="8" w:space="0" w:color="auto"/>
              <w:bottom w:val="single" w:sz="8" w:space="0" w:color="auto"/>
              <w:right w:val="single" w:sz="8" w:space="0" w:color="auto"/>
            </w:tcBorders>
          </w:tcPr>
          <w:p w14:paraId="73129043" w14:textId="0F964089" w:rsidR="003E7F95" w:rsidRDefault="003E7F95" w:rsidP="003E7F95">
            <w:pPr>
              <w:spacing w:line="252" w:lineRule="auto"/>
              <w:jc w:val="center"/>
              <w:rPr>
                <w:rFonts w:ascii="Aptos Narrow" w:hAnsi="Aptos Narrow"/>
                <w:color w:val="000000"/>
              </w:rPr>
            </w:pPr>
            <w:r>
              <w:rPr>
                <w:rFonts w:ascii="Aptos Narrow" w:hAnsi="Aptos Narrow"/>
                <w:color w:val="000000"/>
              </w:rPr>
              <w:t xml:space="preserve">UBER </w:t>
            </w:r>
          </w:p>
        </w:tc>
      </w:tr>
      <w:tr w:rsidR="003E7F95" w14:paraId="2E136C2C" w14:textId="77777777" w:rsidTr="009C5948">
        <w:trPr>
          <w:trHeight w:val="300"/>
        </w:trPr>
        <w:tc>
          <w:tcPr>
            <w:tcW w:w="4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6CA855" w14:textId="3675FE2A" w:rsidR="003E7F95" w:rsidRDefault="003E7F95" w:rsidP="003E7F95">
            <w:pPr>
              <w:spacing w:line="252" w:lineRule="auto"/>
              <w:rPr>
                <w:rFonts w:ascii="Aptos Narrow" w:hAnsi="Aptos Narrow"/>
                <w:color w:val="000000"/>
              </w:rPr>
            </w:pPr>
            <w:r>
              <w:rPr>
                <w:rFonts w:ascii="Aptos Narrow" w:hAnsi="Aptos Narrow"/>
                <w:color w:val="000000"/>
              </w:rPr>
              <w:t>GraniteShares -1X Short COIN</w:t>
            </w:r>
            <w:r w:rsidR="00BB5D9C">
              <w:rPr>
                <w:rFonts w:ascii="Aptos Narrow" w:hAnsi="Aptos Narrow"/>
                <w:color w:val="000000"/>
              </w:rPr>
              <w:t xml:space="preserve"> </w:t>
            </w:r>
            <w:r>
              <w:rPr>
                <w:rFonts w:ascii="Aptos Narrow" w:hAnsi="Aptos Narrow"/>
                <w:color w:val="000000"/>
              </w:rPr>
              <w:t>Daily ETF</w:t>
            </w:r>
          </w:p>
        </w:tc>
        <w:tc>
          <w:tcPr>
            <w:tcW w:w="1662" w:type="dxa"/>
            <w:tcBorders>
              <w:top w:val="single" w:sz="8" w:space="0" w:color="auto"/>
              <w:left w:val="single" w:sz="8" w:space="0" w:color="auto"/>
              <w:bottom w:val="single" w:sz="8" w:space="0" w:color="auto"/>
              <w:right w:val="single" w:sz="8" w:space="0" w:color="auto"/>
            </w:tcBorders>
          </w:tcPr>
          <w:p w14:paraId="3C827FFF" w14:textId="71FB3A38" w:rsidR="003E7F95" w:rsidRDefault="003E7F95" w:rsidP="003E7F95">
            <w:pPr>
              <w:spacing w:line="252" w:lineRule="auto"/>
              <w:jc w:val="center"/>
              <w:rPr>
                <w:rFonts w:ascii="Aptos Narrow" w:hAnsi="Aptos Narrow"/>
                <w:color w:val="000000"/>
              </w:rPr>
            </w:pPr>
            <w:r>
              <w:rPr>
                <w:rFonts w:ascii="Aptos Narrow" w:hAnsi="Aptos Narrow"/>
                <w:color w:val="000000"/>
              </w:rPr>
              <w:t>CONI</w:t>
            </w:r>
          </w:p>
        </w:tc>
        <w:tc>
          <w:tcPr>
            <w:tcW w:w="2070" w:type="dxa"/>
            <w:tcBorders>
              <w:top w:val="single" w:sz="8" w:space="0" w:color="auto"/>
              <w:left w:val="single" w:sz="8" w:space="0" w:color="auto"/>
              <w:bottom w:val="single" w:sz="8" w:space="0" w:color="auto"/>
              <w:right w:val="single" w:sz="8" w:space="0" w:color="auto"/>
            </w:tcBorders>
          </w:tcPr>
          <w:p w14:paraId="75753F89" w14:textId="5638B336" w:rsidR="003E7F95" w:rsidRDefault="003E7F95" w:rsidP="003E7F95">
            <w:pPr>
              <w:spacing w:line="252" w:lineRule="auto"/>
              <w:jc w:val="center"/>
              <w:rPr>
                <w:rFonts w:ascii="Aptos Narrow" w:hAnsi="Aptos Narrow"/>
                <w:color w:val="000000"/>
              </w:rPr>
            </w:pPr>
            <w:r>
              <w:rPr>
                <w:rFonts w:ascii="Aptos Narrow" w:hAnsi="Aptos Narrow"/>
                <w:color w:val="000000"/>
              </w:rPr>
              <w:t>Coinbase</w:t>
            </w:r>
          </w:p>
        </w:tc>
      </w:tr>
      <w:tr w:rsidR="001763F8" w14:paraId="331E64B7" w14:textId="77777777" w:rsidTr="005E5D5A">
        <w:trPr>
          <w:trHeight w:val="300"/>
        </w:trPr>
        <w:tc>
          <w:tcPr>
            <w:tcW w:w="4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2BAA7A" w14:textId="5A58B26F" w:rsidR="001763F8" w:rsidRDefault="001763F8" w:rsidP="001763F8">
            <w:pPr>
              <w:spacing w:line="252" w:lineRule="auto"/>
              <w:rPr>
                <w:rFonts w:ascii="Aptos Narrow" w:hAnsi="Aptos Narrow"/>
                <w:color w:val="000000"/>
              </w:rPr>
            </w:pPr>
            <w:r>
              <w:rPr>
                <w:rFonts w:ascii="Calibri" w:hAnsi="Calibri" w:cs="Calibri"/>
                <w:color w:val="000000"/>
              </w:rPr>
              <w:t>GraniteShares 2x Long MU Daily ETF</w:t>
            </w:r>
          </w:p>
        </w:tc>
        <w:tc>
          <w:tcPr>
            <w:tcW w:w="1662" w:type="dxa"/>
            <w:tcBorders>
              <w:top w:val="single" w:sz="8" w:space="0" w:color="auto"/>
              <w:left w:val="single" w:sz="8" w:space="0" w:color="auto"/>
              <w:bottom w:val="single" w:sz="8" w:space="0" w:color="auto"/>
              <w:right w:val="single" w:sz="8" w:space="0" w:color="auto"/>
            </w:tcBorders>
            <w:vAlign w:val="bottom"/>
          </w:tcPr>
          <w:p w14:paraId="7037DB8A" w14:textId="107E704C" w:rsidR="001763F8" w:rsidRDefault="001763F8" w:rsidP="001763F8">
            <w:pPr>
              <w:spacing w:line="252" w:lineRule="auto"/>
              <w:jc w:val="center"/>
              <w:rPr>
                <w:rFonts w:ascii="Aptos Narrow" w:hAnsi="Aptos Narrow"/>
                <w:color w:val="000000"/>
              </w:rPr>
            </w:pPr>
            <w:r>
              <w:rPr>
                <w:rFonts w:ascii="Calibri" w:hAnsi="Calibri" w:cs="Calibri"/>
                <w:color w:val="000000"/>
              </w:rPr>
              <w:t>MULL</w:t>
            </w:r>
          </w:p>
        </w:tc>
        <w:tc>
          <w:tcPr>
            <w:tcW w:w="2070" w:type="dxa"/>
            <w:tcBorders>
              <w:top w:val="single" w:sz="8" w:space="0" w:color="auto"/>
              <w:left w:val="single" w:sz="8" w:space="0" w:color="auto"/>
              <w:bottom w:val="single" w:sz="8" w:space="0" w:color="auto"/>
              <w:right w:val="single" w:sz="8" w:space="0" w:color="auto"/>
            </w:tcBorders>
          </w:tcPr>
          <w:p w14:paraId="29EE3971" w14:textId="429FB389" w:rsidR="001763F8" w:rsidRDefault="001763F8" w:rsidP="001763F8">
            <w:pPr>
              <w:spacing w:line="252" w:lineRule="auto"/>
              <w:jc w:val="center"/>
              <w:rPr>
                <w:rFonts w:ascii="Aptos Narrow" w:hAnsi="Aptos Narrow"/>
                <w:color w:val="000000"/>
              </w:rPr>
            </w:pPr>
            <w:r w:rsidRPr="001763F8">
              <w:rPr>
                <w:rFonts w:ascii="Calibri" w:hAnsi="Calibri" w:cs="Calibri"/>
                <w:color w:val="000000"/>
              </w:rPr>
              <w:t>Micron</w:t>
            </w:r>
          </w:p>
        </w:tc>
      </w:tr>
      <w:tr w:rsidR="001763F8" w14:paraId="65BCA6B0" w14:textId="77777777" w:rsidTr="005E5D5A">
        <w:trPr>
          <w:trHeight w:val="300"/>
        </w:trPr>
        <w:tc>
          <w:tcPr>
            <w:tcW w:w="4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4525DA" w14:textId="17C236CD" w:rsidR="001763F8" w:rsidRDefault="001763F8" w:rsidP="001763F8">
            <w:pPr>
              <w:spacing w:line="252" w:lineRule="auto"/>
              <w:rPr>
                <w:rFonts w:ascii="Aptos Narrow" w:hAnsi="Aptos Narrow"/>
                <w:color w:val="000000"/>
              </w:rPr>
            </w:pPr>
            <w:r>
              <w:rPr>
                <w:rFonts w:ascii="Calibri" w:hAnsi="Calibri" w:cs="Calibri"/>
                <w:color w:val="000000"/>
              </w:rPr>
              <w:t>GraniteShares 2x Long SMCI Daily ETF</w:t>
            </w:r>
          </w:p>
        </w:tc>
        <w:tc>
          <w:tcPr>
            <w:tcW w:w="1662" w:type="dxa"/>
            <w:tcBorders>
              <w:top w:val="single" w:sz="8" w:space="0" w:color="auto"/>
              <w:left w:val="single" w:sz="8" w:space="0" w:color="auto"/>
              <w:bottom w:val="single" w:sz="8" w:space="0" w:color="auto"/>
              <w:right w:val="single" w:sz="8" w:space="0" w:color="auto"/>
            </w:tcBorders>
            <w:vAlign w:val="bottom"/>
          </w:tcPr>
          <w:p w14:paraId="03CA2086" w14:textId="5DA6C3DD" w:rsidR="001763F8" w:rsidRDefault="001763F8" w:rsidP="001763F8">
            <w:pPr>
              <w:spacing w:line="252" w:lineRule="auto"/>
              <w:jc w:val="center"/>
              <w:rPr>
                <w:rFonts w:ascii="Aptos Narrow" w:hAnsi="Aptos Narrow"/>
                <w:color w:val="000000"/>
              </w:rPr>
            </w:pPr>
            <w:r>
              <w:rPr>
                <w:rFonts w:ascii="Calibri" w:hAnsi="Calibri" w:cs="Calibri"/>
                <w:color w:val="000000"/>
              </w:rPr>
              <w:t>SMCL</w:t>
            </w:r>
          </w:p>
        </w:tc>
        <w:tc>
          <w:tcPr>
            <w:tcW w:w="2070" w:type="dxa"/>
            <w:tcBorders>
              <w:top w:val="single" w:sz="8" w:space="0" w:color="auto"/>
              <w:left w:val="single" w:sz="8" w:space="0" w:color="auto"/>
              <w:bottom w:val="single" w:sz="8" w:space="0" w:color="auto"/>
              <w:right w:val="single" w:sz="8" w:space="0" w:color="auto"/>
            </w:tcBorders>
          </w:tcPr>
          <w:p w14:paraId="7C4E5FC3" w14:textId="03B768D6" w:rsidR="001763F8" w:rsidRDefault="001763F8" w:rsidP="001763F8">
            <w:pPr>
              <w:spacing w:line="252" w:lineRule="auto"/>
              <w:jc w:val="center"/>
              <w:rPr>
                <w:rFonts w:ascii="Aptos Narrow" w:hAnsi="Aptos Narrow"/>
                <w:color w:val="000000"/>
              </w:rPr>
            </w:pPr>
            <w:r w:rsidRPr="001763F8">
              <w:rPr>
                <w:rFonts w:ascii="Calibri" w:hAnsi="Calibri" w:cs="Calibri"/>
                <w:color w:val="000000"/>
              </w:rPr>
              <w:t>Super Micro Computer</w:t>
            </w:r>
          </w:p>
        </w:tc>
      </w:tr>
      <w:tr w:rsidR="001763F8" w14:paraId="1EA8FC89" w14:textId="77777777" w:rsidTr="005E5D5A">
        <w:trPr>
          <w:trHeight w:val="300"/>
        </w:trPr>
        <w:tc>
          <w:tcPr>
            <w:tcW w:w="4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7B1CEB" w14:textId="10BD0E39" w:rsidR="001763F8" w:rsidRDefault="001763F8" w:rsidP="001763F8">
            <w:pPr>
              <w:spacing w:line="252" w:lineRule="auto"/>
              <w:rPr>
                <w:rFonts w:ascii="Aptos Narrow" w:hAnsi="Aptos Narrow"/>
                <w:color w:val="000000"/>
              </w:rPr>
            </w:pPr>
            <w:r>
              <w:rPr>
                <w:rFonts w:ascii="Calibri" w:hAnsi="Calibri" w:cs="Calibri"/>
                <w:color w:val="000000"/>
              </w:rPr>
              <w:t>GraniteShares 2x Long TSM Daily ETF</w:t>
            </w:r>
          </w:p>
        </w:tc>
        <w:tc>
          <w:tcPr>
            <w:tcW w:w="1662" w:type="dxa"/>
            <w:tcBorders>
              <w:top w:val="single" w:sz="8" w:space="0" w:color="auto"/>
              <w:left w:val="single" w:sz="8" w:space="0" w:color="auto"/>
              <w:bottom w:val="single" w:sz="8" w:space="0" w:color="auto"/>
              <w:right w:val="single" w:sz="8" w:space="0" w:color="auto"/>
            </w:tcBorders>
            <w:vAlign w:val="bottom"/>
          </w:tcPr>
          <w:p w14:paraId="35115197" w14:textId="61B4CE39" w:rsidR="001763F8" w:rsidRDefault="001763F8" w:rsidP="001763F8">
            <w:pPr>
              <w:spacing w:line="252" w:lineRule="auto"/>
              <w:jc w:val="center"/>
              <w:rPr>
                <w:rFonts w:ascii="Aptos Narrow" w:hAnsi="Aptos Narrow"/>
                <w:color w:val="000000"/>
              </w:rPr>
            </w:pPr>
            <w:r>
              <w:rPr>
                <w:rFonts w:ascii="Calibri" w:hAnsi="Calibri" w:cs="Calibri"/>
                <w:color w:val="000000"/>
              </w:rPr>
              <w:t>TSMU</w:t>
            </w:r>
          </w:p>
        </w:tc>
        <w:tc>
          <w:tcPr>
            <w:tcW w:w="2070" w:type="dxa"/>
            <w:tcBorders>
              <w:top w:val="single" w:sz="8" w:space="0" w:color="auto"/>
              <w:left w:val="single" w:sz="8" w:space="0" w:color="auto"/>
              <w:bottom w:val="single" w:sz="8" w:space="0" w:color="auto"/>
              <w:right w:val="single" w:sz="8" w:space="0" w:color="auto"/>
            </w:tcBorders>
          </w:tcPr>
          <w:p w14:paraId="7473EF1C" w14:textId="2E3D99F5" w:rsidR="001763F8" w:rsidRDefault="001763F8" w:rsidP="001763F8">
            <w:pPr>
              <w:spacing w:line="252" w:lineRule="auto"/>
              <w:jc w:val="center"/>
              <w:rPr>
                <w:rFonts w:ascii="Aptos Narrow" w:hAnsi="Aptos Narrow"/>
                <w:color w:val="000000"/>
              </w:rPr>
            </w:pPr>
            <w:r w:rsidRPr="001763F8">
              <w:rPr>
                <w:rFonts w:ascii="Calibri" w:hAnsi="Calibri" w:cs="Calibri"/>
                <w:color w:val="000000"/>
              </w:rPr>
              <w:t>Taiwan Semiconductor</w:t>
            </w:r>
          </w:p>
        </w:tc>
      </w:tr>
      <w:tr w:rsidR="001763F8" w14:paraId="7AA45CBB" w14:textId="77777777" w:rsidTr="005E5D5A">
        <w:trPr>
          <w:trHeight w:val="300"/>
        </w:trPr>
        <w:tc>
          <w:tcPr>
            <w:tcW w:w="4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ECD4E2" w14:textId="3FD75994" w:rsidR="001763F8" w:rsidRDefault="001763F8" w:rsidP="001763F8">
            <w:pPr>
              <w:spacing w:line="252" w:lineRule="auto"/>
              <w:rPr>
                <w:rFonts w:ascii="Aptos Narrow" w:hAnsi="Aptos Narrow"/>
                <w:color w:val="000000"/>
              </w:rPr>
            </w:pPr>
            <w:r w:rsidRPr="007B6987">
              <w:rPr>
                <w:rFonts w:ascii="Calibri" w:hAnsi="Calibri" w:cs="Calibri"/>
                <w:color w:val="000000"/>
              </w:rPr>
              <w:t>GraniteShares 2x Long CRWD Daily ETF</w:t>
            </w:r>
          </w:p>
        </w:tc>
        <w:tc>
          <w:tcPr>
            <w:tcW w:w="1662" w:type="dxa"/>
            <w:tcBorders>
              <w:top w:val="single" w:sz="8" w:space="0" w:color="auto"/>
              <w:left w:val="single" w:sz="8" w:space="0" w:color="auto"/>
              <w:bottom w:val="single" w:sz="8" w:space="0" w:color="auto"/>
              <w:right w:val="single" w:sz="8" w:space="0" w:color="auto"/>
            </w:tcBorders>
            <w:vAlign w:val="bottom"/>
          </w:tcPr>
          <w:p w14:paraId="3FAFB606" w14:textId="705851D9" w:rsidR="001763F8" w:rsidRDefault="001763F8" w:rsidP="001763F8">
            <w:pPr>
              <w:spacing w:line="252" w:lineRule="auto"/>
              <w:jc w:val="center"/>
              <w:rPr>
                <w:rFonts w:ascii="Aptos Narrow" w:hAnsi="Aptos Narrow"/>
                <w:color w:val="000000"/>
              </w:rPr>
            </w:pPr>
            <w:r w:rsidRPr="007B6987">
              <w:rPr>
                <w:rFonts w:ascii="Calibri" w:hAnsi="Calibri" w:cs="Calibri"/>
                <w:color w:val="000000"/>
              </w:rPr>
              <w:t>CRWL</w:t>
            </w:r>
          </w:p>
        </w:tc>
        <w:tc>
          <w:tcPr>
            <w:tcW w:w="2070" w:type="dxa"/>
            <w:tcBorders>
              <w:top w:val="single" w:sz="8" w:space="0" w:color="auto"/>
              <w:left w:val="single" w:sz="8" w:space="0" w:color="auto"/>
              <w:bottom w:val="single" w:sz="8" w:space="0" w:color="auto"/>
              <w:right w:val="single" w:sz="8" w:space="0" w:color="auto"/>
            </w:tcBorders>
          </w:tcPr>
          <w:p w14:paraId="52E6C870" w14:textId="0C481909" w:rsidR="001763F8" w:rsidRDefault="001763F8" w:rsidP="001763F8">
            <w:pPr>
              <w:spacing w:line="252" w:lineRule="auto"/>
              <w:jc w:val="center"/>
              <w:rPr>
                <w:rFonts w:ascii="Aptos Narrow" w:hAnsi="Aptos Narrow"/>
                <w:color w:val="000000"/>
              </w:rPr>
            </w:pPr>
            <w:r w:rsidRPr="001763F8">
              <w:rPr>
                <w:rFonts w:ascii="Calibri" w:hAnsi="Calibri" w:cs="Calibri"/>
                <w:color w:val="000000"/>
              </w:rPr>
              <w:t>CrowdStrike</w:t>
            </w:r>
          </w:p>
        </w:tc>
      </w:tr>
    </w:tbl>
    <w:p w14:paraId="2CE9F9A6" w14:textId="77777777" w:rsidR="009E6474" w:rsidRDefault="009E6474">
      <w:pPr>
        <w:rPr>
          <w:highlight w:val="yellow"/>
        </w:rPr>
      </w:pPr>
    </w:p>
    <w:p w14:paraId="1DE1BB43" w14:textId="77777777" w:rsidR="00457C16" w:rsidRDefault="00457C16">
      <w:pPr>
        <w:rPr>
          <w:highlight w:val="yellow"/>
        </w:rPr>
      </w:pPr>
    </w:p>
    <w:p w14:paraId="0000000A" w14:textId="77777777" w:rsidR="00B30F8E" w:rsidRDefault="00B30F8E"/>
    <w:p w14:paraId="0000000B" w14:textId="77777777" w:rsidR="00B30F8E" w:rsidRDefault="003257FD">
      <w:r>
        <w:t xml:space="preserve">For more information, please visit: </w:t>
      </w:r>
      <w:hyperlink r:id="rId7">
        <w:r>
          <w:rPr>
            <w:color w:val="1155CC"/>
            <w:u w:val="single"/>
          </w:rPr>
          <w:t>www.graniteshares.com</w:t>
        </w:r>
      </w:hyperlink>
      <w:r>
        <w:t>.</w:t>
      </w:r>
    </w:p>
    <w:p w14:paraId="0000000C" w14:textId="77777777" w:rsidR="00B30F8E" w:rsidRDefault="00B30F8E"/>
    <w:p w14:paraId="0000000D" w14:textId="77777777" w:rsidR="00B30F8E" w:rsidRDefault="003257FD">
      <w:pPr>
        <w:rPr>
          <w:b/>
        </w:rPr>
      </w:pPr>
      <w:r>
        <w:rPr>
          <w:b/>
        </w:rPr>
        <w:t>Media contact:</w:t>
      </w:r>
    </w:p>
    <w:p w14:paraId="0000000E" w14:textId="77777777" w:rsidR="00B30F8E" w:rsidRDefault="003257FD">
      <w:r>
        <w:t>Gregory FCA for GraniteShares</w:t>
      </w:r>
    </w:p>
    <w:p w14:paraId="0000000F" w14:textId="77777777" w:rsidR="00B30F8E" w:rsidRDefault="003257FD">
      <w:r>
        <w:t>Te’a Gray, 203-815-4514</w:t>
      </w:r>
    </w:p>
    <w:p w14:paraId="00000010" w14:textId="77777777" w:rsidR="00B30F8E" w:rsidRDefault="003257FD">
      <w:r>
        <w:t>graniteshares@gregoryfca.com</w:t>
      </w:r>
    </w:p>
    <w:p w14:paraId="00000011" w14:textId="77777777" w:rsidR="00B30F8E" w:rsidRDefault="00B30F8E"/>
    <w:p w14:paraId="00000012" w14:textId="77777777" w:rsidR="00B30F8E" w:rsidRDefault="003257FD">
      <w:pPr>
        <w:rPr>
          <w:b/>
        </w:rPr>
      </w:pPr>
      <w:r>
        <w:rPr>
          <w:b/>
        </w:rPr>
        <w:t>About GraniteShares:</w:t>
      </w:r>
    </w:p>
    <w:p w14:paraId="00000013" w14:textId="77777777" w:rsidR="00B30F8E" w:rsidRDefault="00B30F8E"/>
    <w:p w14:paraId="00000014" w14:textId="77777777" w:rsidR="00B30F8E" w:rsidRDefault="003257FD">
      <w:r>
        <w:t>GraniteShares is an award-winning global investment firm dedicated to creating and managing</w:t>
      </w:r>
    </w:p>
    <w:p w14:paraId="00000015" w14:textId="4DC1509A" w:rsidR="00B30F8E" w:rsidRDefault="003257FD">
      <w:r>
        <w:t xml:space="preserve">ETFs. Headquartered in New York City, GraniteShares provides products on U.S., U.K, German, French &amp; Italian stock exchanges. The firm is a market leader in leveraged single-stock ETFs and provides innovative, cutting-edge investment solutions for the high conviction investor. Graniteshares believes the future of investing lies at the nexus of alternative thinking, low fees, and disruptive product structures—the core of its high conviction investment philosophy. The firm launched its first product in 2017 and is a fast-growing ETF issuer with approximately </w:t>
      </w:r>
      <w:r w:rsidRPr="00D06562">
        <w:t>$</w:t>
      </w:r>
      <w:r w:rsidR="003E7F95">
        <w:t>8</w:t>
      </w:r>
      <w:r w:rsidR="000B731F" w:rsidRPr="00D06562">
        <w:rPr>
          <w:vertAlign w:val="superscript"/>
        </w:rPr>
        <w:t>2</w:t>
      </w:r>
      <w:r w:rsidRPr="00D06562">
        <w:t xml:space="preserve"> Billion</w:t>
      </w:r>
      <w:r>
        <w:t xml:space="preserve"> in assets under management spanning a full array of investment strategies.</w:t>
      </w:r>
    </w:p>
    <w:p w14:paraId="00000016" w14:textId="77777777" w:rsidR="00B30F8E" w:rsidRDefault="00B30F8E"/>
    <w:p w14:paraId="71145085" w14:textId="7DE472D1" w:rsidR="0056027F" w:rsidRDefault="0056027F" w:rsidP="0056027F">
      <w:pPr>
        <w:pStyle w:val="ListParagraph"/>
        <w:numPr>
          <w:ilvl w:val="0"/>
          <w:numId w:val="1"/>
        </w:numPr>
        <w:shd w:val="clear" w:color="auto" w:fill="FFFFFF"/>
        <w:spacing w:after="120"/>
        <w:jc w:val="both"/>
        <w:rPr>
          <w:b/>
          <w:bCs/>
          <w:sz w:val="20"/>
          <w:szCs w:val="20"/>
        </w:rPr>
      </w:pPr>
      <w:r>
        <w:rPr>
          <w:b/>
          <w:bCs/>
          <w:sz w:val="20"/>
          <w:szCs w:val="20"/>
        </w:rPr>
        <w:t xml:space="preserve">Source: </w:t>
      </w:r>
      <w:r w:rsidR="00116D49">
        <w:rPr>
          <w:b/>
          <w:bCs/>
          <w:sz w:val="20"/>
          <w:szCs w:val="20"/>
        </w:rPr>
        <w:t xml:space="preserve">ETFDB, as at 08/19/2024 </w:t>
      </w:r>
      <w:hyperlink r:id="rId8" w:history="1">
        <w:r w:rsidR="00116D49" w:rsidRPr="00674EEF">
          <w:rPr>
            <w:rStyle w:val="Hyperlink"/>
            <w:b/>
            <w:bCs/>
            <w:sz w:val="20"/>
            <w:szCs w:val="20"/>
          </w:rPr>
          <w:t>https://etfdb.com/etfs/leveraged/</w:t>
        </w:r>
      </w:hyperlink>
      <w:r w:rsidR="00116D49">
        <w:rPr>
          <w:b/>
          <w:bCs/>
          <w:sz w:val="20"/>
          <w:szCs w:val="20"/>
        </w:rPr>
        <w:t xml:space="preserve"> </w:t>
      </w:r>
    </w:p>
    <w:p w14:paraId="04F6ADFA" w14:textId="67424B45" w:rsidR="000B731F" w:rsidRPr="008F407B" w:rsidRDefault="000B731F" w:rsidP="008F407B">
      <w:pPr>
        <w:pStyle w:val="ListParagraph"/>
        <w:numPr>
          <w:ilvl w:val="0"/>
          <w:numId w:val="1"/>
        </w:numPr>
        <w:shd w:val="clear" w:color="auto" w:fill="FFFFFF"/>
        <w:spacing w:after="120"/>
        <w:jc w:val="both"/>
        <w:rPr>
          <w:b/>
          <w:bCs/>
          <w:sz w:val="20"/>
          <w:szCs w:val="20"/>
        </w:rPr>
      </w:pPr>
      <w:r>
        <w:rPr>
          <w:b/>
          <w:bCs/>
          <w:sz w:val="20"/>
          <w:szCs w:val="20"/>
        </w:rPr>
        <w:t xml:space="preserve">Source: GraniteShares, as at </w:t>
      </w:r>
      <w:r w:rsidR="00102C86">
        <w:rPr>
          <w:b/>
          <w:bCs/>
          <w:sz w:val="20"/>
          <w:szCs w:val="20"/>
        </w:rPr>
        <w:t>12</w:t>
      </w:r>
      <w:r w:rsidR="00C55E0C">
        <w:rPr>
          <w:b/>
          <w:bCs/>
          <w:sz w:val="20"/>
          <w:szCs w:val="20"/>
        </w:rPr>
        <w:t>/</w:t>
      </w:r>
      <w:r w:rsidR="00102C86">
        <w:rPr>
          <w:b/>
          <w:bCs/>
          <w:sz w:val="20"/>
          <w:szCs w:val="20"/>
        </w:rPr>
        <w:t>06</w:t>
      </w:r>
      <w:r w:rsidR="00C55E0C">
        <w:rPr>
          <w:b/>
          <w:bCs/>
          <w:sz w:val="20"/>
          <w:szCs w:val="20"/>
        </w:rPr>
        <w:t>/2024</w:t>
      </w:r>
    </w:p>
    <w:p w14:paraId="033C3D5C" w14:textId="77777777" w:rsidR="0056027F" w:rsidRDefault="0056027F" w:rsidP="000C741C">
      <w:pPr>
        <w:shd w:val="clear" w:color="auto" w:fill="FFFFFF"/>
        <w:spacing w:after="120"/>
        <w:jc w:val="both"/>
        <w:rPr>
          <w:b/>
          <w:bCs/>
          <w:sz w:val="20"/>
          <w:szCs w:val="20"/>
        </w:rPr>
      </w:pPr>
    </w:p>
    <w:p w14:paraId="72ACEA2D" w14:textId="16CAF596" w:rsidR="000C741C" w:rsidRDefault="000C741C" w:rsidP="000C741C">
      <w:pPr>
        <w:shd w:val="clear" w:color="auto" w:fill="FFFFFF"/>
        <w:spacing w:after="120"/>
        <w:jc w:val="both"/>
        <w:rPr>
          <w:b/>
          <w:bCs/>
          <w:sz w:val="20"/>
          <w:szCs w:val="20"/>
        </w:rPr>
      </w:pPr>
      <w:r>
        <w:rPr>
          <w:b/>
          <w:bCs/>
          <w:sz w:val="20"/>
          <w:szCs w:val="20"/>
        </w:rPr>
        <w:t>Important Information</w:t>
      </w:r>
    </w:p>
    <w:p w14:paraId="6EA0AE44" w14:textId="77777777" w:rsidR="000C741C" w:rsidRPr="00826349" w:rsidRDefault="000C741C" w:rsidP="000C741C">
      <w:pPr>
        <w:shd w:val="clear" w:color="auto" w:fill="FFFFFF"/>
        <w:spacing w:after="100" w:afterAutospacing="1"/>
        <w:rPr>
          <w:rFonts w:ascii="Poppins" w:hAnsi="Poppins" w:cs="Poppins"/>
          <w:i/>
          <w:iCs/>
          <w:color w:val="3F3F3F"/>
          <w:sz w:val="20"/>
          <w:szCs w:val="20"/>
        </w:rPr>
      </w:pPr>
      <w:r w:rsidRPr="00826349">
        <w:rPr>
          <w:rFonts w:ascii="Poppins" w:hAnsi="Poppins" w:cs="Poppins"/>
          <w:b/>
          <w:bCs/>
          <w:i/>
          <w:iCs/>
          <w:color w:val="3F3F3F"/>
          <w:sz w:val="20"/>
          <w:szCs w:val="20"/>
        </w:rPr>
        <w:t xml:space="preserve">Investors should consider the investment objectives, risks, charges and expenses carefully before investing. For a prospectus or summary prospectus with this and other information about the Funds, please call (844) 476 8747 or visit </w:t>
      </w:r>
      <w:hyperlink r:id="rId9" w:history="1">
        <w:r w:rsidRPr="00826349">
          <w:rPr>
            <w:rStyle w:val="Hyperlink"/>
            <w:rFonts w:ascii="Poppins" w:hAnsi="Poppins" w:cs="Poppins"/>
            <w:b/>
            <w:bCs/>
            <w:i/>
            <w:iCs/>
            <w:sz w:val="20"/>
            <w:szCs w:val="20"/>
          </w:rPr>
          <w:t>www.graniteshares.com</w:t>
        </w:r>
      </w:hyperlink>
      <w:r w:rsidRPr="00826349">
        <w:rPr>
          <w:rFonts w:ascii="Poppins" w:hAnsi="Poppins" w:cs="Poppins"/>
          <w:b/>
          <w:bCs/>
          <w:i/>
          <w:iCs/>
          <w:color w:val="3F3F3F"/>
          <w:sz w:val="20"/>
          <w:szCs w:val="20"/>
        </w:rPr>
        <w:t>. Read the prospectus or summary prospectus carefully before investing.</w:t>
      </w:r>
    </w:p>
    <w:p w14:paraId="254A5287" w14:textId="77777777" w:rsidR="000C741C" w:rsidRDefault="000C741C" w:rsidP="000C741C">
      <w:pPr>
        <w:shd w:val="clear" w:color="auto" w:fill="FFFFFF"/>
        <w:spacing w:after="100" w:afterAutospacing="1"/>
        <w:rPr>
          <w:rFonts w:ascii="Poppins" w:hAnsi="Poppins" w:cs="Poppins"/>
          <w:color w:val="3F3F3F"/>
          <w:sz w:val="20"/>
          <w:szCs w:val="20"/>
        </w:rPr>
      </w:pPr>
      <w:r>
        <w:rPr>
          <w:rFonts w:ascii="Poppins" w:hAnsi="Poppins" w:cs="Poppins"/>
          <w:color w:val="3F3F3F"/>
          <w:sz w:val="20"/>
          <w:szCs w:val="20"/>
        </w:rPr>
        <w:lastRenderedPageBreak/>
        <w:t>The investment program of the funds is speculative, entails substantial risks and include asset classes and investment techniques not employed by more traditional mutual funds.</w:t>
      </w:r>
    </w:p>
    <w:p w14:paraId="2F4CC735" w14:textId="77777777" w:rsidR="000C741C" w:rsidRDefault="000C741C" w:rsidP="000C741C">
      <w:pPr>
        <w:shd w:val="clear" w:color="auto" w:fill="FFFFFF"/>
        <w:spacing w:after="100" w:afterAutospacing="1"/>
        <w:rPr>
          <w:rFonts w:ascii="Poppins" w:hAnsi="Poppins" w:cs="Poppins"/>
          <w:color w:val="3F3F3F"/>
          <w:sz w:val="20"/>
          <w:szCs w:val="20"/>
        </w:rPr>
      </w:pPr>
      <w:r>
        <w:rPr>
          <w:rFonts w:ascii="Poppins" w:hAnsi="Poppins" w:cs="Poppins"/>
          <w:b/>
          <w:bCs/>
          <w:color w:val="3F3F3F"/>
          <w:sz w:val="20"/>
          <w:szCs w:val="20"/>
        </w:rPr>
        <w:t>PRINCIPAL FUND RISKS (see the Prospectus for more information)</w:t>
      </w:r>
    </w:p>
    <w:p w14:paraId="31F9048D" w14:textId="7D52CFA3" w:rsidR="00F72B4D" w:rsidRDefault="00F72B4D" w:rsidP="00F72B4D">
      <w:pPr>
        <w:pStyle w:val="NormalWeb"/>
        <w:shd w:val="clear" w:color="auto" w:fill="FFFFFF"/>
        <w:spacing w:before="0" w:beforeAutospacing="0"/>
        <w:rPr>
          <w:rFonts w:ascii="Poppins" w:hAnsi="Poppins" w:cs="Poppins"/>
          <w:color w:val="3F3F3F"/>
          <w:sz w:val="20"/>
          <w:szCs w:val="20"/>
        </w:rPr>
      </w:pPr>
      <w:r>
        <w:rPr>
          <w:rStyle w:val="Strong"/>
          <w:rFonts w:ascii="Poppins" w:hAnsi="Poppins" w:cs="Poppins"/>
          <w:color w:val="3F3F3F"/>
          <w:sz w:val="20"/>
          <w:szCs w:val="20"/>
        </w:rPr>
        <w:t>The Fund is not suitable for all investors. The investment program of the funds is speculative, entails substantial risks and includes asset classes and investment techniques not employed by most other ETFs and mutual funds. Investments in the ETFs are not bank deposits and are not insured or guaranteed by the Federal Deposit Insurance Corporation or any other government agency. The Fund is designed to be utilized only by knowledgeable investors who understand the potential consequences of seeking daily leveraged (</w:t>
      </w:r>
      <w:r w:rsidR="00555529">
        <w:rPr>
          <w:rStyle w:val="Strong"/>
          <w:rFonts w:ascii="Poppins" w:hAnsi="Poppins" w:cs="Poppins"/>
          <w:color w:val="3F3F3F"/>
          <w:sz w:val="20"/>
          <w:szCs w:val="20"/>
        </w:rPr>
        <w:t>2</w:t>
      </w:r>
      <w:r>
        <w:rPr>
          <w:rStyle w:val="Strong"/>
          <w:rFonts w:ascii="Poppins" w:hAnsi="Poppins" w:cs="Poppins"/>
          <w:color w:val="3F3F3F"/>
          <w:sz w:val="20"/>
          <w:szCs w:val="20"/>
        </w:rPr>
        <w:t>X) investment results, understand the risks associated with the use of leveraged exposure and are willing to monitor their portfolios frequently. For periods longer than a single day, the Fund will lose money if the Underlying Stock’s performance is flat, and it is possible that the Fund will lose money even if the Underlying Stock’s performance leveraged over a period longer than a single day. An investor could lose the full principal value of his/her investment within a single day.</w:t>
      </w:r>
    </w:p>
    <w:p w14:paraId="393054C3" w14:textId="77777777" w:rsidR="00F72B4D" w:rsidRDefault="00F72B4D" w:rsidP="00F72B4D">
      <w:pPr>
        <w:pStyle w:val="NormalWeb"/>
        <w:shd w:val="clear" w:color="auto" w:fill="FFFFFF"/>
        <w:spacing w:before="0" w:beforeAutospacing="0"/>
        <w:rPr>
          <w:rFonts w:ascii="Poppins" w:hAnsi="Poppins" w:cs="Poppins"/>
          <w:color w:val="3F3F3F"/>
          <w:sz w:val="20"/>
          <w:szCs w:val="20"/>
        </w:rPr>
      </w:pPr>
      <w:r>
        <w:rPr>
          <w:rStyle w:val="Strong"/>
          <w:rFonts w:ascii="Poppins" w:hAnsi="Poppins" w:cs="Poppins"/>
          <w:color w:val="3F3F3F"/>
          <w:sz w:val="20"/>
          <w:szCs w:val="20"/>
        </w:rPr>
        <w:t>The Fund seeks daily leveraged investment results and are intended to be used as short-term trading vehicles. This Fund attempts to provide daily investment results that correspond to the respective leveraged of the performance of its underlying stock (a leveraged Fund).</w:t>
      </w:r>
    </w:p>
    <w:p w14:paraId="0E3097E2" w14:textId="77777777" w:rsidR="00F72B4D" w:rsidRDefault="00F72B4D" w:rsidP="00F72B4D">
      <w:pPr>
        <w:pStyle w:val="NormalWeb"/>
        <w:shd w:val="clear" w:color="auto" w:fill="FFFFFF"/>
        <w:spacing w:before="0" w:beforeAutospacing="0"/>
        <w:rPr>
          <w:rFonts w:ascii="Poppins" w:hAnsi="Poppins" w:cs="Poppins"/>
          <w:color w:val="3F3F3F"/>
          <w:sz w:val="20"/>
          <w:szCs w:val="20"/>
        </w:rPr>
      </w:pPr>
      <w:r>
        <w:rPr>
          <w:rStyle w:val="Strong"/>
          <w:rFonts w:ascii="Poppins" w:hAnsi="Poppins" w:cs="Poppins"/>
          <w:color w:val="3F3F3F"/>
          <w:sz w:val="20"/>
          <w:szCs w:val="20"/>
        </w:rPr>
        <w:t>Investors should note that the fund pursues daily leveraged investment objectives, which means that the fund is riskier than alternatives that do not use leverage because the fund magnifies the performance of their underlying security. The volatility of the underlying security may affect a Fund’s return as much as, or more than, the return of the underlying security.</w:t>
      </w:r>
    </w:p>
    <w:p w14:paraId="793F60CF" w14:textId="20E986FA" w:rsidR="00F72B4D" w:rsidRDefault="00F72B4D" w:rsidP="00F72B4D">
      <w:pPr>
        <w:pStyle w:val="NormalWeb"/>
        <w:shd w:val="clear" w:color="auto" w:fill="FFFFFF"/>
        <w:spacing w:before="0" w:beforeAutospacing="0"/>
        <w:rPr>
          <w:rFonts w:ascii="Poppins" w:hAnsi="Poppins" w:cs="Poppins"/>
          <w:color w:val="3F3F3F"/>
          <w:sz w:val="20"/>
          <w:szCs w:val="20"/>
        </w:rPr>
      </w:pPr>
      <w:r>
        <w:rPr>
          <w:rStyle w:val="Strong"/>
          <w:rFonts w:ascii="Poppins" w:hAnsi="Poppins" w:cs="Poppins"/>
          <w:color w:val="3F3F3F"/>
          <w:sz w:val="20"/>
          <w:szCs w:val="20"/>
        </w:rPr>
        <w:t xml:space="preserve">Because of daily rebalancing and the compounding of each day’s return over time, the return of the Fund for periods longer than a single day will be the result of each day’s returns compounded over the period, which will very likely differ from </w:t>
      </w:r>
      <w:r w:rsidR="00555529">
        <w:rPr>
          <w:rStyle w:val="Strong"/>
          <w:rFonts w:ascii="Poppins" w:hAnsi="Poppins" w:cs="Poppins"/>
          <w:color w:val="3F3F3F"/>
          <w:sz w:val="20"/>
          <w:szCs w:val="20"/>
        </w:rPr>
        <w:t>200</w:t>
      </w:r>
      <w:r>
        <w:rPr>
          <w:rStyle w:val="Strong"/>
          <w:rFonts w:ascii="Poppins" w:hAnsi="Poppins" w:cs="Poppins"/>
          <w:color w:val="3F3F3F"/>
          <w:sz w:val="20"/>
          <w:szCs w:val="20"/>
        </w:rPr>
        <w:t xml:space="preserve">% of the return of the Underlying Stock over the same period. The Fund will lose money if the Underlying Stock’s performance is flat over time, and </w:t>
      </w:r>
      <w:proofErr w:type="gramStart"/>
      <w:r>
        <w:rPr>
          <w:rStyle w:val="Strong"/>
          <w:rFonts w:ascii="Poppins" w:hAnsi="Poppins" w:cs="Poppins"/>
          <w:color w:val="3F3F3F"/>
          <w:sz w:val="20"/>
          <w:szCs w:val="20"/>
        </w:rPr>
        <w:t>as a result of</w:t>
      </w:r>
      <w:proofErr w:type="gramEnd"/>
      <w:r>
        <w:rPr>
          <w:rStyle w:val="Strong"/>
          <w:rFonts w:ascii="Poppins" w:hAnsi="Poppins" w:cs="Poppins"/>
          <w:color w:val="3F3F3F"/>
          <w:sz w:val="20"/>
          <w:szCs w:val="20"/>
        </w:rPr>
        <w:t xml:space="preserve"> daily rebalancing, the Underlying Stock volatility and the effects of compounding, it is even possible that the Fund will lose money over time while the Underlying Stock's performance increases over a period longer than a single day.</w:t>
      </w:r>
    </w:p>
    <w:p w14:paraId="0F71EFBF" w14:textId="77777777" w:rsidR="00F72B4D" w:rsidRDefault="00F72B4D" w:rsidP="00F72B4D">
      <w:pPr>
        <w:pStyle w:val="NormalWeb"/>
        <w:shd w:val="clear" w:color="auto" w:fill="FFFFFF"/>
        <w:spacing w:before="0" w:beforeAutospacing="0"/>
        <w:rPr>
          <w:rFonts w:ascii="Poppins" w:hAnsi="Poppins" w:cs="Poppins"/>
          <w:color w:val="3F3F3F"/>
          <w:sz w:val="20"/>
          <w:szCs w:val="20"/>
        </w:rPr>
      </w:pPr>
      <w:r>
        <w:rPr>
          <w:rFonts w:ascii="Poppins" w:hAnsi="Poppins" w:cs="Poppins"/>
          <w:color w:val="3F3F3F"/>
          <w:sz w:val="20"/>
          <w:szCs w:val="20"/>
        </w:rPr>
        <w:t xml:space="preserve">An investment in the Fund involves risk, including the possible loss of principal. The Fund is non-diversified and includes risks associated with the Fund concentrating its investments in a particular industry, sector, or geographic region which can result in increased volatility. The use of derivatives such as futures contracts and swaps are subject to market risks that may cause their price to fluctuate over time. Risks of the Fund include effects of Compounding and </w:t>
      </w:r>
      <w:r>
        <w:rPr>
          <w:rFonts w:ascii="Poppins" w:hAnsi="Poppins" w:cs="Poppins"/>
          <w:color w:val="3F3F3F"/>
          <w:sz w:val="20"/>
          <w:szCs w:val="20"/>
        </w:rPr>
        <w:lastRenderedPageBreak/>
        <w:t>Market Volatility Risk, Inverse Risk, Market Risk, Counterparty Risk, Rebalancing Risk, Intra-Day Investment Risk, Daily Index Correlation Risk, Other Investment Companies (including ETFs) Risk, and risks specific to the securities of the Underlying Stock and the sector in which it operates. These and other risks can be found in the prospectus.</w:t>
      </w:r>
    </w:p>
    <w:p w14:paraId="0AE125F2" w14:textId="77777777" w:rsidR="000C741C" w:rsidRDefault="000C741C" w:rsidP="000C741C">
      <w:pPr>
        <w:shd w:val="clear" w:color="auto" w:fill="FFFFFF"/>
        <w:spacing w:after="100" w:afterAutospacing="1"/>
        <w:rPr>
          <w:rFonts w:ascii="Poppins" w:hAnsi="Poppins" w:cs="Poppins"/>
          <w:color w:val="3F3F3F"/>
          <w:sz w:val="20"/>
          <w:szCs w:val="20"/>
        </w:rPr>
      </w:pPr>
    </w:p>
    <w:p w14:paraId="7A795A9A" w14:textId="77777777" w:rsidR="000C741C" w:rsidRDefault="000C741C" w:rsidP="000C741C">
      <w:pPr>
        <w:shd w:val="clear" w:color="auto" w:fill="FFFFFF"/>
        <w:spacing w:after="100" w:afterAutospacing="1"/>
        <w:rPr>
          <w:rFonts w:ascii="Poppins" w:hAnsi="Poppins" w:cs="Poppins"/>
          <w:color w:val="3F3F3F"/>
          <w:sz w:val="20"/>
          <w:szCs w:val="20"/>
        </w:rPr>
      </w:pPr>
      <w:r>
        <w:rPr>
          <w:rFonts w:ascii="Poppins" w:hAnsi="Poppins" w:cs="Poppins"/>
          <w:color w:val="3F3F3F"/>
          <w:sz w:val="20"/>
          <w:szCs w:val="20"/>
        </w:rPr>
        <w:t>This information is not an offer to sell or a solicitation of an offer to buy shares of any Funds to any person in any jurisdiction in which an offer, solicitation, purchase or sale would be unlawful under the securities laws of such jurisdiction.</w:t>
      </w:r>
    </w:p>
    <w:p w14:paraId="1C95ADCC" w14:textId="77777777" w:rsidR="000C741C" w:rsidRDefault="000C741C" w:rsidP="000C741C">
      <w:pPr>
        <w:shd w:val="clear" w:color="auto" w:fill="FFFFFF"/>
        <w:spacing w:after="100" w:afterAutospacing="1"/>
        <w:rPr>
          <w:rFonts w:ascii="Poppins" w:hAnsi="Poppins" w:cs="Poppins"/>
          <w:color w:val="3F3F3F"/>
          <w:sz w:val="20"/>
          <w:szCs w:val="20"/>
        </w:rPr>
      </w:pPr>
      <w:r>
        <w:rPr>
          <w:rFonts w:ascii="Poppins" w:hAnsi="Poppins" w:cs="Poppins"/>
          <w:color w:val="3F3F3F"/>
          <w:sz w:val="20"/>
          <w:szCs w:val="20"/>
        </w:rPr>
        <w:t>THE FUNDS AREDISTRIBUTED BY ALPS DISTRIBIUTORS, INC. GRANITESHRES IS NOT AFFILIATED WITH ALPS DISTRIBUTORS, INC</w:t>
      </w:r>
    </w:p>
    <w:sectPr w:rsidR="000C74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C7306"/>
    <w:multiLevelType w:val="hybridMultilevel"/>
    <w:tmpl w:val="8DD2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69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8E"/>
    <w:rsid w:val="00001D49"/>
    <w:rsid w:val="0000666F"/>
    <w:rsid w:val="00024580"/>
    <w:rsid w:val="00026CE5"/>
    <w:rsid w:val="00050DAB"/>
    <w:rsid w:val="00074EDD"/>
    <w:rsid w:val="000A0786"/>
    <w:rsid w:val="000B4B9F"/>
    <w:rsid w:val="000B731F"/>
    <w:rsid w:val="000C741C"/>
    <w:rsid w:val="000D6D8A"/>
    <w:rsid w:val="000E2C4C"/>
    <w:rsid w:val="00102C86"/>
    <w:rsid w:val="001055B8"/>
    <w:rsid w:val="00116D49"/>
    <w:rsid w:val="00127A38"/>
    <w:rsid w:val="00154A20"/>
    <w:rsid w:val="0017314B"/>
    <w:rsid w:val="001763F8"/>
    <w:rsid w:val="00191CDD"/>
    <w:rsid w:val="001B4DF5"/>
    <w:rsid w:val="001E19D5"/>
    <w:rsid w:val="001E3B41"/>
    <w:rsid w:val="00212A79"/>
    <w:rsid w:val="00221C52"/>
    <w:rsid w:val="00262798"/>
    <w:rsid w:val="002726C5"/>
    <w:rsid w:val="002869B8"/>
    <w:rsid w:val="002D431F"/>
    <w:rsid w:val="002E32C1"/>
    <w:rsid w:val="003016E9"/>
    <w:rsid w:val="003257FD"/>
    <w:rsid w:val="00372C4A"/>
    <w:rsid w:val="00390959"/>
    <w:rsid w:val="003A7BAD"/>
    <w:rsid w:val="003C18D3"/>
    <w:rsid w:val="003C698C"/>
    <w:rsid w:val="003E7839"/>
    <w:rsid w:val="003E7F95"/>
    <w:rsid w:val="00413940"/>
    <w:rsid w:val="00423508"/>
    <w:rsid w:val="004476CF"/>
    <w:rsid w:val="00457C16"/>
    <w:rsid w:val="00472EBF"/>
    <w:rsid w:val="00482125"/>
    <w:rsid w:val="004D423D"/>
    <w:rsid w:val="00504FF5"/>
    <w:rsid w:val="005145AA"/>
    <w:rsid w:val="00555529"/>
    <w:rsid w:val="0056027F"/>
    <w:rsid w:val="005736B8"/>
    <w:rsid w:val="00574812"/>
    <w:rsid w:val="00577BA8"/>
    <w:rsid w:val="005B4DD1"/>
    <w:rsid w:val="005C5C6E"/>
    <w:rsid w:val="005D5E38"/>
    <w:rsid w:val="006301C0"/>
    <w:rsid w:val="0064055A"/>
    <w:rsid w:val="0066149F"/>
    <w:rsid w:val="00665B92"/>
    <w:rsid w:val="006B2EFC"/>
    <w:rsid w:val="006D1CF5"/>
    <w:rsid w:val="006E2B27"/>
    <w:rsid w:val="006F0314"/>
    <w:rsid w:val="006F6829"/>
    <w:rsid w:val="00703A55"/>
    <w:rsid w:val="00773440"/>
    <w:rsid w:val="00777D84"/>
    <w:rsid w:val="00783ED8"/>
    <w:rsid w:val="00792900"/>
    <w:rsid w:val="007B3948"/>
    <w:rsid w:val="007B504B"/>
    <w:rsid w:val="007B6987"/>
    <w:rsid w:val="007D2494"/>
    <w:rsid w:val="007E49B8"/>
    <w:rsid w:val="00805B96"/>
    <w:rsid w:val="00806CA7"/>
    <w:rsid w:val="008100A6"/>
    <w:rsid w:val="00813FFF"/>
    <w:rsid w:val="00826349"/>
    <w:rsid w:val="00844A87"/>
    <w:rsid w:val="008D53C4"/>
    <w:rsid w:val="008E0053"/>
    <w:rsid w:val="008F3A14"/>
    <w:rsid w:val="008F407B"/>
    <w:rsid w:val="008F5D7C"/>
    <w:rsid w:val="00900E10"/>
    <w:rsid w:val="00916DDD"/>
    <w:rsid w:val="00940639"/>
    <w:rsid w:val="0099307E"/>
    <w:rsid w:val="009B19E8"/>
    <w:rsid w:val="009C5948"/>
    <w:rsid w:val="009C5955"/>
    <w:rsid w:val="009E6474"/>
    <w:rsid w:val="009F631C"/>
    <w:rsid w:val="00A0351A"/>
    <w:rsid w:val="00A26FDF"/>
    <w:rsid w:val="00A52BAA"/>
    <w:rsid w:val="00AA7BC9"/>
    <w:rsid w:val="00AF6578"/>
    <w:rsid w:val="00B04003"/>
    <w:rsid w:val="00B30F8E"/>
    <w:rsid w:val="00B74F5A"/>
    <w:rsid w:val="00B9279C"/>
    <w:rsid w:val="00B92BE9"/>
    <w:rsid w:val="00BB5D9C"/>
    <w:rsid w:val="00BC41E6"/>
    <w:rsid w:val="00BC7C2E"/>
    <w:rsid w:val="00BE3004"/>
    <w:rsid w:val="00BF7C4D"/>
    <w:rsid w:val="00C036BA"/>
    <w:rsid w:val="00C1196A"/>
    <w:rsid w:val="00C1539A"/>
    <w:rsid w:val="00C3115B"/>
    <w:rsid w:val="00C409D1"/>
    <w:rsid w:val="00C50CB4"/>
    <w:rsid w:val="00C55B07"/>
    <w:rsid w:val="00C55E0C"/>
    <w:rsid w:val="00C631BA"/>
    <w:rsid w:val="00C6355C"/>
    <w:rsid w:val="00C65DAC"/>
    <w:rsid w:val="00C8543B"/>
    <w:rsid w:val="00CC31D0"/>
    <w:rsid w:val="00CC63F8"/>
    <w:rsid w:val="00D06562"/>
    <w:rsid w:val="00D44E65"/>
    <w:rsid w:val="00D5433D"/>
    <w:rsid w:val="00D665B9"/>
    <w:rsid w:val="00D94666"/>
    <w:rsid w:val="00DD15E7"/>
    <w:rsid w:val="00E06F67"/>
    <w:rsid w:val="00E24549"/>
    <w:rsid w:val="00E43109"/>
    <w:rsid w:val="00E447C2"/>
    <w:rsid w:val="00E45FB9"/>
    <w:rsid w:val="00E622E8"/>
    <w:rsid w:val="00E829AA"/>
    <w:rsid w:val="00E87F81"/>
    <w:rsid w:val="00E929AE"/>
    <w:rsid w:val="00F72B4D"/>
    <w:rsid w:val="00F90010"/>
    <w:rsid w:val="00F9393F"/>
    <w:rsid w:val="00FA5D24"/>
    <w:rsid w:val="00FB0132"/>
    <w:rsid w:val="00FB2376"/>
    <w:rsid w:val="00FB7398"/>
    <w:rsid w:val="00FF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DCC4"/>
  <w15:docId w15:val="{01E8F444-D279-4789-8070-418F000A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9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F5D7C"/>
    <w:pPr>
      <w:spacing w:line="240" w:lineRule="auto"/>
    </w:pPr>
  </w:style>
  <w:style w:type="character" w:styleId="Hyperlink">
    <w:name w:val="Hyperlink"/>
    <w:basedOn w:val="DefaultParagraphFont"/>
    <w:uiPriority w:val="99"/>
    <w:unhideWhenUsed/>
    <w:rsid w:val="000C741C"/>
    <w:rPr>
      <w:color w:val="0000FF" w:themeColor="hyperlink"/>
      <w:u w:val="single"/>
    </w:rPr>
  </w:style>
  <w:style w:type="paragraph" w:styleId="ListParagraph">
    <w:name w:val="List Paragraph"/>
    <w:basedOn w:val="Normal"/>
    <w:uiPriority w:val="34"/>
    <w:qFormat/>
    <w:rsid w:val="0056027F"/>
    <w:pPr>
      <w:ind w:left="720"/>
      <w:contextualSpacing/>
    </w:pPr>
  </w:style>
  <w:style w:type="paragraph" w:styleId="NormalWeb">
    <w:name w:val="Normal (Web)"/>
    <w:basedOn w:val="Normal"/>
    <w:uiPriority w:val="99"/>
    <w:semiHidden/>
    <w:unhideWhenUsed/>
    <w:rsid w:val="00F72B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72B4D"/>
    <w:rPr>
      <w:b/>
      <w:bCs/>
    </w:rPr>
  </w:style>
  <w:style w:type="character" w:styleId="UnresolvedMention">
    <w:name w:val="Unresolved Mention"/>
    <w:basedOn w:val="DefaultParagraphFont"/>
    <w:uiPriority w:val="99"/>
    <w:semiHidden/>
    <w:unhideWhenUsed/>
    <w:rsid w:val="001B4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701633">
      <w:bodyDiv w:val="1"/>
      <w:marLeft w:val="0"/>
      <w:marRight w:val="0"/>
      <w:marTop w:val="0"/>
      <w:marBottom w:val="0"/>
      <w:divBdr>
        <w:top w:val="none" w:sz="0" w:space="0" w:color="auto"/>
        <w:left w:val="none" w:sz="0" w:space="0" w:color="auto"/>
        <w:bottom w:val="none" w:sz="0" w:space="0" w:color="auto"/>
        <w:right w:val="none" w:sz="0" w:space="0" w:color="auto"/>
      </w:divBdr>
    </w:div>
    <w:div w:id="806435169">
      <w:bodyDiv w:val="1"/>
      <w:marLeft w:val="0"/>
      <w:marRight w:val="0"/>
      <w:marTop w:val="0"/>
      <w:marBottom w:val="0"/>
      <w:divBdr>
        <w:top w:val="none" w:sz="0" w:space="0" w:color="auto"/>
        <w:left w:val="none" w:sz="0" w:space="0" w:color="auto"/>
        <w:bottom w:val="none" w:sz="0" w:space="0" w:color="auto"/>
        <w:right w:val="none" w:sz="0" w:space="0" w:color="auto"/>
      </w:divBdr>
    </w:div>
    <w:div w:id="1077089279">
      <w:bodyDiv w:val="1"/>
      <w:marLeft w:val="0"/>
      <w:marRight w:val="0"/>
      <w:marTop w:val="0"/>
      <w:marBottom w:val="0"/>
      <w:divBdr>
        <w:top w:val="none" w:sz="0" w:space="0" w:color="auto"/>
        <w:left w:val="none" w:sz="0" w:space="0" w:color="auto"/>
        <w:bottom w:val="none" w:sz="0" w:space="0" w:color="auto"/>
        <w:right w:val="none" w:sz="0" w:space="0" w:color="auto"/>
      </w:divBdr>
    </w:div>
    <w:div w:id="1285428871">
      <w:bodyDiv w:val="1"/>
      <w:marLeft w:val="0"/>
      <w:marRight w:val="0"/>
      <w:marTop w:val="0"/>
      <w:marBottom w:val="0"/>
      <w:divBdr>
        <w:top w:val="none" w:sz="0" w:space="0" w:color="auto"/>
        <w:left w:val="none" w:sz="0" w:space="0" w:color="auto"/>
        <w:bottom w:val="none" w:sz="0" w:space="0" w:color="auto"/>
        <w:right w:val="none" w:sz="0" w:space="0" w:color="auto"/>
      </w:divBdr>
    </w:div>
    <w:div w:id="1970671294">
      <w:bodyDiv w:val="1"/>
      <w:marLeft w:val="0"/>
      <w:marRight w:val="0"/>
      <w:marTop w:val="0"/>
      <w:marBottom w:val="0"/>
      <w:divBdr>
        <w:top w:val="none" w:sz="0" w:space="0" w:color="auto"/>
        <w:left w:val="none" w:sz="0" w:space="0" w:color="auto"/>
        <w:bottom w:val="none" w:sz="0" w:space="0" w:color="auto"/>
        <w:right w:val="none" w:sz="0" w:space="0" w:color="auto"/>
      </w:divBdr>
    </w:div>
    <w:div w:id="2085640249">
      <w:bodyDiv w:val="1"/>
      <w:marLeft w:val="0"/>
      <w:marRight w:val="0"/>
      <w:marTop w:val="0"/>
      <w:marBottom w:val="0"/>
      <w:divBdr>
        <w:top w:val="none" w:sz="0" w:space="0" w:color="auto"/>
        <w:left w:val="none" w:sz="0" w:space="0" w:color="auto"/>
        <w:bottom w:val="none" w:sz="0" w:space="0" w:color="auto"/>
        <w:right w:val="none" w:sz="0" w:space="0" w:color="auto"/>
      </w:divBdr>
    </w:div>
    <w:div w:id="210541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fdb.com/etfs/leveraged/" TargetMode="External"/><Relationship Id="rId3" Type="http://schemas.openxmlformats.org/officeDocument/2006/relationships/settings" Target="settings.xml"/><Relationship Id="rId7" Type="http://schemas.openxmlformats.org/officeDocument/2006/relationships/hyperlink" Target="http://www.graniteshar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iteshares.com/institutional/us/en-us/etfs/nvdl/" TargetMode="External"/><Relationship Id="rId11" Type="http://schemas.openxmlformats.org/officeDocument/2006/relationships/theme" Target="theme/theme1.xml"/><Relationship Id="rId5" Type="http://schemas.openxmlformats.org/officeDocument/2006/relationships/hyperlink" Target="https://graniteshare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nitesha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Rhind</dc:creator>
  <cp:lastModifiedBy>William Rhind</cp:lastModifiedBy>
  <cp:revision>3</cp:revision>
  <dcterms:created xsi:type="dcterms:W3CDTF">2024-12-10T15:57:00Z</dcterms:created>
  <dcterms:modified xsi:type="dcterms:W3CDTF">2024-12-10T16:05:00Z</dcterms:modified>
</cp:coreProperties>
</file>